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00" w:lineRule="exact"/>
        <w:rPr>
          <w:rFonts w:ascii="微软雅黑" w:hAnsi="微软雅黑" w:eastAsia="微软雅黑"/>
          <w:b/>
          <w:color w:val="auto"/>
          <w:sz w:val="32"/>
          <w:szCs w:val="24"/>
        </w:rPr>
      </w:pPr>
    </w:p>
    <w:p>
      <w:pPr>
        <w:widowControl/>
        <w:spacing w:line="400" w:lineRule="exact"/>
        <w:jc w:val="center"/>
        <w:rPr>
          <w:rFonts w:ascii="微软雅黑" w:hAnsi="微软雅黑" w:eastAsia="微软雅黑"/>
          <w:b/>
          <w:color w:val="auto"/>
          <w:sz w:val="32"/>
          <w:szCs w:val="24"/>
        </w:rPr>
      </w:pPr>
    </w:p>
    <w:p>
      <w:pPr>
        <w:widowControl/>
        <w:spacing w:line="400" w:lineRule="exact"/>
        <w:jc w:val="center"/>
        <w:rPr>
          <w:rFonts w:ascii="微软雅黑" w:hAnsi="微软雅黑" w:eastAsia="微软雅黑"/>
          <w:b/>
          <w:color w:val="auto"/>
          <w:sz w:val="32"/>
          <w:szCs w:val="24"/>
        </w:rPr>
      </w:pPr>
    </w:p>
    <w:p>
      <w:pPr>
        <w:widowControl/>
        <w:jc w:val="center"/>
        <w:rPr>
          <w:rFonts w:ascii="微软雅黑" w:hAnsi="微软雅黑" w:eastAsia="微软雅黑"/>
          <w:b/>
          <w:color w:val="auto"/>
          <w:sz w:val="52"/>
          <w:szCs w:val="52"/>
        </w:rPr>
      </w:pPr>
      <w:r>
        <w:rPr>
          <w:rFonts w:hint="eastAsia" w:ascii="微软雅黑" w:hAnsi="微软雅黑" w:eastAsia="微软雅黑"/>
          <w:b/>
          <w:color w:val="auto"/>
          <w:sz w:val="52"/>
          <w:szCs w:val="52"/>
          <w:lang w:eastAsia="zh-CN"/>
        </w:rPr>
        <w:t>港澳同胞在川</w:t>
      </w:r>
      <w:r>
        <w:rPr>
          <w:rFonts w:hint="eastAsia" w:ascii="微软雅黑" w:hAnsi="微软雅黑" w:eastAsia="微软雅黑"/>
          <w:b/>
          <w:color w:val="auto"/>
          <w:sz w:val="52"/>
          <w:szCs w:val="52"/>
        </w:rPr>
        <w:t>生活小百科</w:t>
      </w:r>
    </w:p>
    <w:p>
      <w:pPr>
        <w:widowControl/>
        <w:ind w:right="522"/>
        <w:jc w:val="right"/>
        <w:rPr>
          <w:rFonts w:ascii="微软雅黑" w:hAnsi="微软雅黑" w:eastAsia="微软雅黑"/>
          <w:b/>
          <w:color w:val="auto"/>
          <w:sz w:val="52"/>
          <w:szCs w:val="52"/>
        </w:rPr>
      </w:pPr>
      <w:r>
        <w:rPr>
          <w:rFonts w:hint="eastAsia" w:ascii="微软雅黑" w:hAnsi="微软雅黑" w:eastAsia="微软雅黑"/>
          <w:b/>
          <w:color w:val="auto"/>
          <w:sz w:val="52"/>
          <w:szCs w:val="52"/>
        </w:rPr>
        <w:t>——成都篇</w:t>
      </w:r>
    </w:p>
    <w:p>
      <w:pPr>
        <w:widowControl/>
        <w:ind w:right="522"/>
        <w:jc w:val="right"/>
        <w:rPr>
          <w:rFonts w:ascii="微软雅黑" w:hAnsi="微软雅黑" w:eastAsia="微软雅黑"/>
          <w:b/>
          <w:color w:val="auto"/>
          <w:sz w:val="52"/>
          <w:szCs w:val="24"/>
        </w:rPr>
      </w:pPr>
    </w:p>
    <w:p>
      <w:pPr>
        <w:widowControl/>
        <w:ind w:right="522"/>
        <w:jc w:val="right"/>
        <w:rPr>
          <w:rFonts w:ascii="微软雅黑" w:hAnsi="微软雅黑" w:eastAsia="微软雅黑"/>
          <w:b/>
          <w:color w:val="auto"/>
          <w:sz w:val="52"/>
          <w:szCs w:val="24"/>
        </w:rPr>
      </w:pPr>
    </w:p>
    <w:p>
      <w:pPr>
        <w:widowControl/>
        <w:ind w:right="522"/>
        <w:jc w:val="right"/>
        <w:rPr>
          <w:rFonts w:ascii="微软雅黑" w:hAnsi="微软雅黑" w:eastAsia="微软雅黑"/>
          <w:b/>
          <w:color w:val="auto"/>
          <w:sz w:val="52"/>
          <w:szCs w:val="24"/>
        </w:rPr>
      </w:pPr>
    </w:p>
    <w:p>
      <w:pPr>
        <w:widowControl/>
        <w:ind w:right="522"/>
        <w:jc w:val="right"/>
        <w:rPr>
          <w:rFonts w:ascii="微软雅黑" w:hAnsi="微软雅黑" w:eastAsia="微软雅黑"/>
          <w:b/>
          <w:color w:val="auto"/>
          <w:sz w:val="52"/>
          <w:szCs w:val="24"/>
        </w:rPr>
      </w:pPr>
    </w:p>
    <w:p>
      <w:pPr>
        <w:widowControl/>
        <w:ind w:right="522"/>
        <w:jc w:val="center"/>
        <w:rPr>
          <w:rFonts w:ascii="微软雅黑" w:hAnsi="微软雅黑" w:eastAsia="微软雅黑"/>
          <w:color w:val="auto"/>
          <w:sz w:val="24"/>
          <w:szCs w:val="24"/>
        </w:rPr>
      </w:pPr>
    </w:p>
    <w:p>
      <w:pPr>
        <w:widowControl/>
        <w:ind w:right="522"/>
        <w:jc w:val="center"/>
        <w:rPr>
          <w:rFonts w:ascii="微软雅黑" w:hAnsi="微软雅黑" w:eastAsia="微软雅黑"/>
          <w:color w:val="auto"/>
          <w:sz w:val="24"/>
          <w:szCs w:val="24"/>
        </w:rPr>
      </w:pPr>
    </w:p>
    <w:p>
      <w:pPr>
        <w:widowControl/>
        <w:ind w:right="522"/>
        <w:jc w:val="center"/>
        <w:rPr>
          <w:rFonts w:ascii="微软雅黑" w:hAnsi="微软雅黑" w:eastAsia="微软雅黑"/>
          <w:color w:val="auto"/>
          <w:sz w:val="24"/>
          <w:szCs w:val="24"/>
        </w:rPr>
      </w:pPr>
    </w:p>
    <w:p>
      <w:pPr>
        <w:widowControl/>
        <w:ind w:right="522"/>
        <w:jc w:val="center"/>
        <w:rPr>
          <w:rFonts w:ascii="微软雅黑" w:hAnsi="微软雅黑" w:eastAsia="微软雅黑"/>
          <w:color w:val="auto"/>
          <w:sz w:val="24"/>
          <w:szCs w:val="24"/>
        </w:rPr>
      </w:pPr>
    </w:p>
    <w:p>
      <w:pPr>
        <w:widowControl/>
        <w:ind w:right="522"/>
        <w:jc w:val="center"/>
        <w:rPr>
          <w:rFonts w:ascii="微软雅黑" w:hAnsi="微软雅黑" w:eastAsia="微软雅黑"/>
          <w:color w:val="auto"/>
          <w:sz w:val="24"/>
          <w:szCs w:val="24"/>
        </w:rPr>
      </w:pPr>
    </w:p>
    <w:p>
      <w:pPr>
        <w:widowControl/>
        <w:ind w:right="522"/>
        <w:jc w:val="center"/>
        <w:rPr>
          <w:rFonts w:ascii="微软雅黑" w:hAnsi="微软雅黑" w:eastAsia="微软雅黑"/>
          <w:color w:val="auto"/>
          <w:sz w:val="24"/>
          <w:szCs w:val="24"/>
        </w:rPr>
      </w:pPr>
    </w:p>
    <w:p>
      <w:pPr>
        <w:widowControl/>
        <w:spacing w:line="400" w:lineRule="exact"/>
        <w:jc w:val="center"/>
        <w:rPr>
          <w:rFonts w:hint="eastAsia" w:ascii="微软雅黑" w:hAnsi="微软雅黑" w:eastAsia="微软雅黑"/>
          <w:b/>
          <w:color w:val="auto"/>
          <w:sz w:val="32"/>
          <w:szCs w:val="24"/>
          <w:lang w:eastAsia="zh-CN"/>
        </w:rPr>
      </w:pPr>
      <w:r>
        <w:rPr>
          <w:rFonts w:hint="eastAsia" w:ascii="微软雅黑" w:hAnsi="微软雅黑" w:eastAsia="微软雅黑"/>
          <w:b/>
          <w:color w:val="auto"/>
          <w:sz w:val="32"/>
          <w:szCs w:val="24"/>
          <w:lang w:eastAsia="zh-CN"/>
        </w:rPr>
        <w:t>四川省人民政府港澳事务办公室</w:t>
      </w:r>
    </w:p>
    <w:p>
      <w:pPr>
        <w:widowControl/>
        <w:spacing w:line="400" w:lineRule="exact"/>
        <w:jc w:val="left"/>
        <w:rPr>
          <w:rFonts w:ascii="微软雅黑" w:hAnsi="微软雅黑" w:eastAsia="微软雅黑" w:cs="Times New Roman"/>
          <w:b/>
          <w:color w:val="auto"/>
          <w:sz w:val="32"/>
        </w:rPr>
      </w:pPr>
      <w:bookmarkStart w:id="0" w:name="_Toc374091252"/>
    </w:p>
    <w:bookmarkEnd w:id="0"/>
    <w:p>
      <w:pPr>
        <w:widowControl/>
        <w:spacing w:line="400" w:lineRule="exact"/>
        <w:jc w:val="left"/>
        <w:rPr>
          <w:rFonts w:ascii="微软雅黑" w:hAnsi="微软雅黑" w:eastAsia="微软雅黑"/>
          <w:color w:val="auto"/>
          <w:sz w:val="24"/>
          <w:szCs w:val="24"/>
        </w:rPr>
      </w:pPr>
      <w:bookmarkStart w:id="30" w:name="_GoBack"/>
      <w:bookmarkEnd w:id="30"/>
      <w:r>
        <w:rPr>
          <w:rFonts w:ascii="微软雅黑" w:hAnsi="微软雅黑" w:eastAsia="微软雅黑"/>
          <w:b/>
          <w:color w:val="auto"/>
          <w:sz w:val="32"/>
          <w:szCs w:val="24"/>
        </w:rPr>
        <w:br w:type="page"/>
      </w:r>
    </w:p>
    <w:p>
      <w:pPr>
        <w:pStyle w:val="28"/>
        <w:numPr>
          <w:ilvl w:val="0"/>
          <w:numId w:val="1"/>
        </w:numPr>
        <w:spacing w:line="480" w:lineRule="auto"/>
        <w:ind w:left="720" w:hanging="720" w:hangingChars="200"/>
        <w:outlineLvl w:val="0"/>
        <w:rPr>
          <w:rFonts w:ascii="微软雅黑" w:hAnsi="微软雅黑" w:eastAsia="微软雅黑"/>
          <w:b/>
          <w:color w:val="auto"/>
          <w:sz w:val="36"/>
          <w:szCs w:val="24"/>
          <w:lang w:eastAsia="zh-TW"/>
        </w:rPr>
      </w:pPr>
      <w:bookmarkStart w:id="1" w:name="_Toc475364378"/>
      <w:r>
        <w:rPr>
          <w:rFonts w:hint="eastAsia" w:ascii="微软雅黑" w:hAnsi="微软雅黑" w:eastAsia="微软雅黑"/>
          <w:b/>
          <w:color w:val="auto"/>
          <w:sz w:val="36"/>
          <w:szCs w:val="24"/>
        </w:rPr>
        <w:t>认识成都</w:t>
      </w:r>
      <w:bookmarkEnd w:id="1"/>
    </w:p>
    <w:p>
      <w:pPr>
        <w:pStyle w:val="28"/>
        <w:numPr>
          <w:ilvl w:val="0"/>
          <w:numId w:val="2"/>
        </w:numPr>
        <w:spacing w:before="468" w:beforeLines="150" w:line="400" w:lineRule="exact"/>
        <w:ind w:left="600" w:hanging="600" w:hangingChars="200"/>
        <w:outlineLvl w:val="1"/>
        <w:rPr>
          <w:rFonts w:ascii="微软雅黑" w:hAnsi="微软雅黑" w:eastAsia="微软雅黑"/>
          <w:b/>
          <w:color w:val="auto"/>
          <w:sz w:val="30"/>
          <w:szCs w:val="30"/>
          <w:u w:val="single"/>
          <w:lang w:eastAsia="zh-TW"/>
        </w:rPr>
      </w:pPr>
      <w:r>
        <w:rPr>
          <w:rFonts w:hint="eastAsia" w:ascii="微软雅黑" w:hAnsi="微软雅黑" w:eastAsia="微软雅黑"/>
          <w:b/>
          <w:color w:val="auto"/>
          <w:sz w:val="30"/>
          <w:szCs w:val="30"/>
          <w:u w:val="single"/>
        </w:rPr>
        <w:t>行政区划</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成都古为蜀国地，三国时期因织锦业发达专设锦官管理，故有「锦官城」之称，五代时遍种芙蓉，故别称「芙蓉城」，简称「蓉」。</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成都市面积为</w:t>
      </w:r>
      <w:r>
        <w:rPr>
          <w:rFonts w:ascii="微软雅黑" w:hAnsi="微软雅黑" w:eastAsia="微软雅黑"/>
          <w:color w:val="auto"/>
          <w:sz w:val="24"/>
          <w:szCs w:val="24"/>
        </w:rPr>
        <w:t>1.43</w:t>
      </w:r>
      <w:r>
        <w:rPr>
          <w:rFonts w:hint="eastAsia" w:ascii="微软雅黑" w:hAnsi="微软雅黑" w:eastAsia="微软雅黑"/>
          <w:color w:val="auto"/>
          <w:sz w:val="24"/>
          <w:szCs w:val="24"/>
        </w:rPr>
        <w:t>万平方公里，有</w:t>
      </w:r>
      <w:r>
        <w:rPr>
          <w:rFonts w:ascii="微软雅黑" w:hAnsi="微软雅黑" w:eastAsia="微软雅黑"/>
          <w:color w:val="auto"/>
          <w:sz w:val="24"/>
          <w:szCs w:val="24"/>
        </w:rPr>
        <w:t>11</w:t>
      </w:r>
      <w:r>
        <w:rPr>
          <w:rFonts w:hint="eastAsia" w:ascii="微软雅黑" w:hAnsi="微软雅黑" w:eastAsia="微软雅黑"/>
          <w:color w:val="auto"/>
          <w:sz w:val="24"/>
          <w:szCs w:val="24"/>
        </w:rPr>
        <w:t>区</w:t>
      </w:r>
      <w:r>
        <w:rPr>
          <w:rFonts w:ascii="微软雅黑" w:hAnsi="微软雅黑" w:eastAsia="微软雅黑"/>
          <w:color w:val="auto"/>
          <w:sz w:val="24"/>
          <w:szCs w:val="24"/>
        </w:rPr>
        <w:t>5</w:t>
      </w:r>
      <w:r>
        <w:rPr>
          <w:rFonts w:hint="eastAsia" w:ascii="微软雅黑" w:hAnsi="微软雅黑" w:eastAsia="微软雅黑"/>
          <w:color w:val="auto"/>
          <w:sz w:val="24"/>
          <w:szCs w:val="24"/>
        </w:rPr>
        <w:t>市（县级市）</w:t>
      </w:r>
      <w:r>
        <w:rPr>
          <w:rFonts w:ascii="微软雅黑" w:hAnsi="微软雅黑" w:eastAsia="微软雅黑"/>
          <w:color w:val="auto"/>
          <w:sz w:val="24"/>
          <w:szCs w:val="24"/>
        </w:rPr>
        <w:t>4</w:t>
      </w:r>
      <w:r>
        <w:rPr>
          <w:rFonts w:hint="eastAsia" w:ascii="微软雅黑" w:hAnsi="微软雅黑" w:eastAsia="微软雅黑"/>
          <w:color w:val="auto"/>
          <w:sz w:val="24"/>
          <w:szCs w:val="24"/>
        </w:rPr>
        <w:t>县：锦江区、青羊区、金牛区、武侯区、成华区、龙泉驿区、青白江区、新都区、温江区、双流区、郫都区、都江堰市、彭州市、邛崃市、崇州市、简阳市、金堂县、大邑县、蒲江县、新津县。此外，成都市还设有在管理和统计上实行单列的成都高新技术产业开发区。</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ascii="微软雅黑" w:hAnsi="微软雅黑" w:eastAsia="微软雅黑"/>
          <w:color w:val="auto"/>
          <w:sz w:val="24"/>
          <w:szCs w:val="24"/>
        </w:rPr>
        <w:t>2014</w:t>
      </w:r>
      <w:r>
        <w:rPr>
          <w:rFonts w:hint="eastAsia" w:ascii="微软雅黑" w:hAnsi="微软雅黑" w:eastAsia="微软雅黑"/>
          <w:color w:val="auto"/>
          <w:sz w:val="24"/>
          <w:szCs w:val="24"/>
        </w:rPr>
        <w:t>年</w:t>
      </w:r>
      <w:r>
        <w:rPr>
          <w:rFonts w:ascii="微软雅黑" w:hAnsi="微软雅黑" w:eastAsia="微软雅黑"/>
          <w:color w:val="auto"/>
          <w:sz w:val="24"/>
          <w:szCs w:val="24"/>
        </w:rPr>
        <w:t>11</w:t>
      </w:r>
      <w:r>
        <w:rPr>
          <w:rFonts w:hint="eastAsia" w:ascii="微软雅黑" w:hAnsi="微软雅黑" w:eastAsia="微软雅黑"/>
          <w:color w:val="auto"/>
          <w:sz w:val="24"/>
          <w:szCs w:val="24"/>
        </w:rPr>
        <w:t>月</w:t>
      </w:r>
      <w:r>
        <w:rPr>
          <w:rFonts w:ascii="微软雅黑" w:hAnsi="微软雅黑" w:eastAsia="微软雅黑"/>
          <w:color w:val="auto"/>
          <w:sz w:val="24"/>
          <w:szCs w:val="24"/>
        </w:rPr>
        <w:t>15</w:t>
      </w:r>
      <w:r>
        <w:rPr>
          <w:rFonts w:hint="eastAsia" w:ascii="微软雅黑" w:hAnsi="微软雅黑" w:eastAsia="微软雅黑"/>
          <w:color w:val="auto"/>
          <w:sz w:val="24"/>
          <w:szCs w:val="24"/>
        </w:rPr>
        <w:t>日，中华人民共和国国务院同意设立四川天府新区。天府新区主要包括成都市高新区南区、双流区、龙泉驿区、新津县，简阳市，眉山市的彭山区、仁寿县，共涉及</w:t>
      </w:r>
      <w:r>
        <w:rPr>
          <w:rFonts w:ascii="微软雅黑" w:hAnsi="微软雅黑" w:eastAsia="微软雅黑"/>
          <w:color w:val="auto"/>
          <w:sz w:val="24"/>
          <w:szCs w:val="24"/>
        </w:rPr>
        <w:t>2</w:t>
      </w:r>
      <w:r>
        <w:rPr>
          <w:rFonts w:hint="eastAsia" w:ascii="微软雅黑" w:hAnsi="微软雅黑" w:eastAsia="微软雅黑"/>
          <w:color w:val="auto"/>
          <w:sz w:val="24"/>
          <w:szCs w:val="24"/>
        </w:rPr>
        <w:t>市</w:t>
      </w:r>
      <w:r>
        <w:rPr>
          <w:rFonts w:ascii="微软雅黑" w:hAnsi="微软雅黑" w:eastAsia="微软雅黑"/>
          <w:color w:val="auto"/>
          <w:sz w:val="24"/>
          <w:szCs w:val="24"/>
        </w:rPr>
        <w:t>7</w:t>
      </w:r>
      <w:r>
        <w:rPr>
          <w:rFonts w:hint="eastAsia" w:ascii="微软雅黑" w:hAnsi="微软雅黑" w:eastAsia="微软雅黑"/>
          <w:color w:val="auto"/>
          <w:sz w:val="24"/>
          <w:szCs w:val="24"/>
        </w:rPr>
        <w:t>县（市、区）</w:t>
      </w:r>
      <w:r>
        <w:rPr>
          <w:rFonts w:ascii="微软雅黑" w:hAnsi="微软雅黑" w:eastAsia="微软雅黑"/>
          <w:color w:val="auto"/>
          <w:sz w:val="24"/>
          <w:szCs w:val="24"/>
        </w:rPr>
        <w:t>37</w:t>
      </w:r>
      <w:r>
        <w:rPr>
          <w:rFonts w:hint="eastAsia" w:ascii="微软雅黑" w:hAnsi="微软雅黑" w:eastAsia="微软雅黑"/>
          <w:color w:val="auto"/>
          <w:sz w:val="24"/>
          <w:szCs w:val="24"/>
        </w:rPr>
        <w:t>个乡镇和街道办事处，总面积</w:t>
      </w:r>
      <w:r>
        <w:rPr>
          <w:rFonts w:ascii="微软雅黑" w:hAnsi="微软雅黑" w:eastAsia="微软雅黑"/>
          <w:color w:val="auto"/>
          <w:sz w:val="24"/>
          <w:szCs w:val="24"/>
        </w:rPr>
        <w:t>1578</w:t>
      </w:r>
      <w:r>
        <w:rPr>
          <w:rFonts w:hint="eastAsia" w:ascii="微软雅黑" w:hAnsi="微软雅黑" w:eastAsia="微软雅黑"/>
          <w:color w:val="auto"/>
          <w:sz w:val="24"/>
          <w:szCs w:val="24"/>
        </w:rPr>
        <w:t>平方公里。在成都范围内的面积有</w:t>
      </w:r>
      <w:r>
        <w:rPr>
          <w:rFonts w:ascii="微软雅黑" w:hAnsi="微软雅黑" w:eastAsia="微软雅黑"/>
          <w:color w:val="auto"/>
          <w:sz w:val="24"/>
          <w:szCs w:val="24"/>
        </w:rPr>
        <w:t>1484</w:t>
      </w:r>
      <w:r>
        <w:rPr>
          <w:rFonts w:hint="eastAsia" w:ascii="微软雅黑" w:hAnsi="微软雅黑" w:eastAsia="微软雅黑"/>
          <w:color w:val="auto"/>
          <w:sz w:val="24"/>
          <w:szCs w:val="24"/>
        </w:rPr>
        <w:t>平方公里，约占整个天府新区规划面积的</w:t>
      </w:r>
      <w:r>
        <w:rPr>
          <w:rFonts w:ascii="微软雅黑" w:hAnsi="微软雅黑" w:eastAsia="微软雅黑"/>
          <w:color w:val="auto"/>
          <w:sz w:val="24"/>
          <w:szCs w:val="24"/>
        </w:rPr>
        <w:t>94.04%</w:t>
      </w:r>
      <w:r>
        <w:rPr>
          <w:rFonts w:hint="eastAsia" w:ascii="微软雅黑" w:hAnsi="微软雅黑" w:eastAsia="微软雅黑"/>
          <w:color w:val="auto"/>
          <w:sz w:val="24"/>
          <w:szCs w:val="24"/>
        </w:rPr>
        <w:t>。</w:t>
      </w:r>
    </w:p>
    <w:p>
      <w:pPr>
        <w:pStyle w:val="28"/>
        <w:numPr>
          <w:ilvl w:val="0"/>
          <w:numId w:val="2"/>
        </w:numPr>
        <w:spacing w:before="468" w:beforeLines="15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气候</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成都具有「春早、夏热、秋凉、冬湿冷」的气候特点，年均气温</w:t>
      </w:r>
      <w:r>
        <w:rPr>
          <w:rFonts w:ascii="微软雅黑" w:hAnsi="微软雅黑" w:eastAsia="微软雅黑"/>
          <w:color w:val="auto"/>
          <w:sz w:val="24"/>
          <w:szCs w:val="24"/>
        </w:rPr>
        <w:t>16</w:t>
      </w:r>
      <w:r>
        <w:rPr>
          <w:rFonts w:hint="eastAsia" w:ascii="微软雅黑" w:hAnsi="微软雅黑" w:eastAsia="微软雅黑"/>
          <w:color w:val="auto"/>
          <w:sz w:val="24"/>
          <w:szCs w:val="24"/>
        </w:rPr>
        <w:t>℃。</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成都夏季多云雾、日照短、空气潮湿，因此虽然气温不会太高，却显闷热；冬季最低气温一般大于</w:t>
      </w:r>
      <w:r>
        <w:rPr>
          <w:rFonts w:ascii="微软雅黑" w:hAnsi="微软雅黑" w:eastAsia="微软雅黑"/>
          <w:color w:val="auto"/>
          <w:sz w:val="24"/>
          <w:szCs w:val="24"/>
        </w:rPr>
        <w:t>-4</w:t>
      </w:r>
      <w:r>
        <w:rPr>
          <w:rFonts w:hint="eastAsia" w:ascii="微软雅黑" w:hAnsi="微软雅黑" w:eastAsia="微软雅黑"/>
          <w:color w:val="auto"/>
          <w:sz w:val="24"/>
          <w:szCs w:val="24"/>
        </w:rPr>
        <w:t>℃，阴天较多，空气相对潮湿。雨季集中在</w:t>
      </w:r>
      <w:r>
        <w:rPr>
          <w:rFonts w:ascii="微软雅黑" w:hAnsi="微软雅黑" w:eastAsia="微软雅黑"/>
          <w:color w:val="auto"/>
          <w:sz w:val="24"/>
          <w:szCs w:val="24"/>
        </w:rPr>
        <w:t>7</w:t>
      </w:r>
      <w:r>
        <w:rPr>
          <w:rFonts w:hint="eastAsia" w:ascii="微软雅黑" w:hAnsi="微软雅黑" w:eastAsia="微软雅黑"/>
          <w:color w:val="auto"/>
          <w:sz w:val="24"/>
          <w:szCs w:val="24"/>
        </w:rPr>
        <w:t>月及</w:t>
      </w:r>
      <w:r>
        <w:rPr>
          <w:rFonts w:ascii="微软雅黑" w:hAnsi="微软雅黑" w:eastAsia="微软雅黑"/>
          <w:color w:val="auto"/>
          <w:sz w:val="24"/>
          <w:szCs w:val="24"/>
        </w:rPr>
        <w:t>8</w:t>
      </w:r>
      <w:r>
        <w:rPr>
          <w:rFonts w:hint="eastAsia" w:ascii="微软雅黑" w:hAnsi="微软雅黑" w:eastAsia="微软雅黑"/>
          <w:color w:val="auto"/>
          <w:sz w:val="24"/>
          <w:szCs w:val="24"/>
        </w:rPr>
        <w:t>月，冬春两季干旱少雨，极少霜雪。</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四川盆地空气潮湿，天空多云。四周群山环绕，中间平原的水气不易散开，那里的狗不常见太阳，看到太阳后觉得奇怪而犬吠不止，因此蜀中有「天无三日晴」和「蜀犬吠日」之说。</w:t>
      </w:r>
    </w:p>
    <w:p>
      <w:pPr>
        <w:pStyle w:val="28"/>
        <w:numPr>
          <w:ilvl w:val="0"/>
          <w:numId w:val="2"/>
        </w:numPr>
        <w:spacing w:before="468" w:beforeLines="15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空气质量</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成都不时出现雾霾天气。</w:t>
      </w:r>
      <w:r>
        <w:rPr>
          <w:rFonts w:ascii="微软雅黑" w:hAnsi="微软雅黑" w:eastAsia="微软雅黑"/>
          <w:color w:val="auto"/>
          <w:sz w:val="24"/>
          <w:szCs w:val="24"/>
        </w:rPr>
        <w:t>PM2.5</w:t>
      </w:r>
      <w:r>
        <w:rPr>
          <w:rFonts w:hint="eastAsia" w:ascii="微软雅黑" w:hAnsi="微软雅黑" w:eastAsia="微软雅黑"/>
          <w:color w:val="auto"/>
          <w:sz w:val="24"/>
          <w:szCs w:val="24"/>
        </w:rPr>
        <w:t>的单位含量是空气监测中的一个重要指标，检测机构根据</w:t>
      </w:r>
      <w:r>
        <w:rPr>
          <w:rFonts w:ascii="微软雅黑" w:hAnsi="微软雅黑" w:eastAsia="微软雅黑"/>
          <w:color w:val="auto"/>
          <w:sz w:val="24"/>
          <w:szCs w:val="24"/>
        </w:rPr>
        <w:t>PM2.5</w:t>
      </w:r>
      <w:r>
        <w:rPr>
          <w:rFonts w:hint="eastAsia" w:ascii="微软雅黑" w:hAnsi="微软雅黑" w:eastAsia="微软雅黑"/>
          <w:color w:val="auto"/>
          <w:sz w:val="24"/>
          <w:szCs w:val="24"/>
        </w:rPr>
        <w:t>浓度转换成空气质量指数</w:t>
      </w:r>
      <w:r>
        <w:rPr>
          <w:rFonts w:ascii="微软雅黑" w:hAnsi="微软雅黑" w:eastAsia="微软雅黑"/>
          <w:color w:val="auto"/>
          <w:sz w:val="24"/>
          <w:szCs w:val="24"/>
        </w:rPr>
        <w:t>(AQI)</w:t>
      </w:r>
      <w:r>
        <w:rPr>
          <w:rFonts w:hint="eastAsia" w:ascii="微软雅黑" w:hAnsi="微软雅黑" w:eastAsia="微软雅黑"/>
          <w:color w:val="auto"/>
          <w:sz w:val="24"/>
          <w:szCs w:val="24"/>
        </w:rPr>
        <w:t>来反映空气质量。根据中华人民共和国环境保护部发布的《环境空气品质指数</w:t>
      </w:r>
      <w:r>
        <w:rPr>
          <w:rFonts w:ascii="微软雅黑" w:hAnsi="微软雅黑" w:eastAsia="微软雅黑"/>
          <w:color w:val="auto"/>
          <w:sz w:val="24"/>
          <w:szCs w:val="24"/>
        </w:rPr>
        <w:t>(AQI)</w:t>
      </w:r>
      <w:r>
        <w:rPr>
          <w:rFonts w:hint="eastAsia" w:ascii="微软雅黑" w:hAnsi="微软雅黑" w:eastAsia="微软雅黑"/>
          <w:color w:val="auto"/>
          <w:sz w:val="24"/>
          <w:szCs w:val="24"/>
        </w:rPr>
        <w:t>技术规定</w:t>
      </w:r>
      <w:r>
        <w:rPr>
          <w:rFonts w:ascii="微软雅黑" w:hAnsi="微软雅黑" w:eastAsia="微软雅黑"/>
          <w:color w:val="auto"/>
          <w:sz w:val="24"/>
          <w:szCs w:val="24"/>
        </w:rPr>
        <w:t>(</w:t>
      </w:r>
      <w:r>
        <w:rPr>
          <w:rFonts w:hint="eastAsia" w:ascii="微软雅黑" w:hAnsi="微软雅黑" w:eastAsia="微软雅黑"/>
          <w:color w:val="auto"/>
          <w:sz w:val="24"/>
          <w:szCs w:val="24"/>
        </w:rPr>
        <w:t>试行</w:t>
      </w:r>
      <w:r>
        <w:rPr>
          <w:rFonts w:ascii="微软雅黑" w:hAnsi="微软雅黑" w:eastAsia="微软雅黑"/>
          <w:color w:val="auto"/>
          <w:sz w:val="24"/>
          <w:szCs w:val="24"/>
        </w:rPr>
        <w:t>)</w:t>
      </w:r>
      <w:r>
        <w:rPr>
          <w:rFonts w:hint="eastAsia" w:ascii="微软雅黑" w:hAnsi="微软雅黑" w:eastAsia="微软雅黑"/>
          <w:color w:val="auto"/>
          <w:sz w:val="24"/>
          <w:szCs w:val="24"/>
        </w:rPr>
        <w:t>》</w:t>
      </w:r>
      <w:r>
        <w:rPr>
          <w:rFonts w:ascii="微软雅黑" w:hAnsi="微软雅黑" w:eastAsia="微软雅黑"/>
          <w:color w:val="auto"/>
          <w:sz w:val="24"/>
          <w:szCs w:val="24"/>
        </w:rPr>
        <w:t>(</w:t>
      </w:r>
      <w:r>
        <w:rPr>
          <w:rFonts w:hint="eastAsia" w:ascii="微软雅黑" w:hAnsi="微软雅黑" w:eastAsia="微软雅黑"/>
          <w:color w:val="auto"/>
          <w:sz w:val="24"/>
          <w:szCs w:val="24"/>
        </w:rPr>
        <w:t>公告</w:t>
      </w:r>
      <w:r>
        <w:rPr>
          <w:rFonts w:ascii="微软雅黑" w:hAnsi="微软雅黑" w:eastAsia="微软雅黑"/>
          <w:color w:val="auto"/>
          <w:sz w:val="24"/>
          <w:szCs w:val="24"/>
        </w:rPr>
        <w:t>2012</w:t>
      </w:r>
      <w:r>
        <w:rPr>
          <w:rFonts w:hint="eastAsia" w:ascii="微软雅黑" w:hAnsi="微软雅黑" w:eastAsia="微软雅黑"/>
          <w:color w:val="auto"/>
          <w:sz w:val="24"/>
          <w:szCs w:val="24"/>
        </w:rPr>
        <w:t>年第</w:t>
      </w:r>
      <w:r>
        <w:rPr>
          <w:rFonts w:ascii="微软雅黑" w:hAnsi="微软雅黑" w:eastAsia="微软雅黑"/>
          <w:color w:val="auto"/>
          <w:sz w:val="24"/>
          <w:szCs w:val="24"/>
        </w:rPr>
        <w:t>8</w:t>
      </w:r>
      <w:r>
        <w:rPr>
          <w:rFonts w:hint="eastAsia" w:ascii="微软雅黑" w:hAnsi="微软雅黑" w:eastAsia="微软雅黑"/>
          <w:color w:val="auto"/>
          <w:sz w:val="24"/>
          <w:szCs w:val="24"/>
        </w:rPr>
        <w:t>号</w:t>
      </w:r>
      <w:r>
        <w:rPr>
          <w:rFonts w:ascii="微软雅黑" w:hAnsi="微软雅黑" w:eastAsia="微软雅黑"/>
          <w:color w:val="auto"/>
          <w:sz w:val="24"/>
          <w:szCs w:val="24"/>
        </w:rPr>
        <w:t>)</w:t>
      </w:r>
      <w:r>
        <w:rPr>
          <w:rFonts w:hint="eastAsia" w:ascii="微软雅黑" w:hAnsi="微软雅黑" w:eastAsia="微软雅黑"/>
          <w:color w:val="auto"/>
          <w:sz w:val="24"/>
          <w:szCs w:val="24"/>
        </w:rPr>
        <w:t>，</w:t>
      </w:r>
      <w:r>
        <w:rPr>
          <w:rFonts w:ascii="微软雅黑" w:hAnsi="微软雅黑" w:eastAsia="微软雅黑"/>
          <w:color w:val="auto"/>
          <w:sz w:val="24"/>
          <w:szCs w:val="24"/>
        </w:rPr>
        <w:t>AQI</w:t>
      </w:r>
      <w:r>
        <w:rPr>
          <w:rFonts w:hint="eastAsia" w:ascii="微软雅黑" w:hAnsi="微软雅黑" w:eastAsia="微软雅黑"/>
          <w:color w:val="auto"/>
          <w:sz w:val="24"/>
          <w:szCs w:val="24"/>
        </w:rPr>
        <w:t>在</w:t>
      </w:r>
      <w:r>
        <w:rPr>
          <w:rFonts w:ascii="微软雅黑" w:hAnsi="微软雅黑" w:eastAsia="微软雅黑"/>
          <w:color w:val="auto"/>
          <w:sz w:val="24"/>
          <w:szCs w:val="24"/>
        </w:rPr>
        <w:t>0</w:t>
      </w:r>
      <w:r>
        <w:rPr>
          <w:rFonts w:hint="eastAsia" w:ascii="微软雅黑" w:hAnsi="微软雅黑" w:eastAsia="微软雅黑"/>
          <w:color w:val="auto"/>
          <w:sz w:val="24"/>
          <w:szCs w:val="24"/>
        </w:rPr>
        <w:t>－</w:t>
      </w:r>
      <w:r>
        <w:rPr>
          <w:rFonts w:ascii="微软雅黑" w:hAnsi="微软雅黑" w:eastAsia="微软雅黑"/>
          <w:color w:val="auto"/>
          <w:sz w:val="24"/>
          <w:szCs w:val="24"/>
        </w:rPr>
        <w:t>50</w:t>
      </w:r>
      <w:r>
        <w:rPr>
          <w:rFonts w:hint="eastAsia" w:ascii="微软雅黑" w:hAnsi="微软雅黑" w:eastAsia="微软雅黑"/>
          <w:color w:val="auto"/>
          <w:sz w:val="24"/>
          <w:szCs w:val="24"/>
        </w:rPr>
        <w:t>之间空气质量为优；在</w:t>
      </w:r>
      <w:r>
        <w:rPr>
          <w:rFonts w:ascii="微软雅黑" w:hAnsi="微软雅黑" w:eastAsia="微软雅黑"/>
          <w:color w:val="auto"/>
          <w:sz w:val="24"/>
          <w:szCs w:val="24"/>
        </w:rPr>
        <w:t>51-100</w:t>
      </w:r>
      <w:r>
        <w:rPr>
          <w:rFonts w:hint="eastAsia" w:ascii="微软雅黑" w:hAnsi="微软雅黑" w:eastAsia="微软雅黑"/>
          <w:color w:val="auto"/>
          <w:sz w:val="24"/>
          <w:szCs w:val="24"/>
        </w:rPr>
        <w:t>之间空气质量为良；在</w:t>
      </w:r>
      <w:r>
        <w:rPr>
          <w:rFonts w:ascii="微软雅黑" w:hAnsi="微软雅黑" w:eastAsia="微软雅黑"/>
          <w:color w:val="auto"/>
          <w:sz w:val="24"/>
          <w:szCs w:val="24"/>
        </w:rPr>
        <w:t>101-150</w:t>
      </w:r>
      <w:r>
        <w:rPr>
          <w:rFonts w:hint="eastAsia" w:ascii="微软雅黑" w:hAnsi="微软雅黑" w:eastAsia="微软雅黑"/>
          <w:color w:val="auto"/>
          <w:sz w:val="24"/>
          <w:szCs w:val="24"/>
        </w:rPr>
        <w:t>之间为轻度污染；在</w:t>
      </w:r>
      <w:r>
        <w:rPr>
          <w:rFonts w:ascii="微软雅黑" w:hAnsi="微软雅黑" w:eastAsia="微软雅黑"/>
          <w:color w:val="auto"/>
          <w:sz w:val="24"/>
          <w:szCs w:val="24"/>
        </w:rPr>
        <w:t>151-200</w:t>
      </w:r>
      <w:r>
        <w:rPr>
          <w:rFonts w:hint="eastAsia" w:ascii="微软雅黑" w:hAnsi="微软雅黑" w:eastAsia="微软雅黑"/>
          <w:color w:val="auto"/>
          <w:sz w:val="24"/>
          <w:szCs w:val="24"/>
        </w:rPr>
        <w:t>之间为中度污染；在</w:t>
      </w:r>
      <w:r>
        <w:rPr>
          <w:rFonts w:ascii="微软雅黑" w:hAnsi="微软雅黑" w:eastAsia="微软雅黑"/>
          <w:color w:val="auto"/>
          <w:sz w:val="24"/>
          <w:szCs w:val="24"/>
        </w:rPr>
        <w:t>201</w:t>
      </w:r>
      <w:r>
        <w:rPr>
          <w:rFonts w:hint="eastAsia" w:ascii="微软雅黑" w:hAnsi="微软雅黑" w:eastAsia="微软雅黑"/>
          <w:color w:val="auto"/>
          <w:sz w:val="24"/>
          <w:szCs w:val="24"/>
        </w:rPr>
        <w:t>—</w:t>
      </w:r>
      <w:r>
        <w:rPr>
          <w:rFonts w:ascii="微软雅黑" w:hAnsi="微软雅黑" w:eastAsia="微软雅黑"/>
          <w:color w:val="auto"/>
          <w:sz w:val="24"/>
          <w:szCs w:val="24"/>
        </w:rPr>
        <w:t>300</w:t>
      </w:r>
      <w:r>
        <w:rPr>
          <w:rFonts w:hint="eastAsia" w:ascii="微软雅黑" w:hAnsi="微软雅黑" w:eastAsia="微软雅黑"/>
          <w:color w:val="auto"/>
          <w:sz w:val="24"/>
          <w:szCs w:val="24"/>
        </w:rPr>
        <w:t>之间为重度污染；在</w:t>
      </w:r>
      <w:r>
        <w:rPr>
          <w:rFonts w:ascii="微软雅黑" w:hAnsi="微软雅黑" w:eastAsia="微软雅黑"/>
          <w:color w:val="auto"/>
          <w:sz w:val="24"/>
          <w:szCs w:val="24"/>
        </w:rPr>
        <w:t>301-500</w:t>
      </w:r>
      <w:r>
        <w:rPr>
          <w:rFonts w:hint="eastAsia" w:ascii="微软雅黑" w:hAnsi="微软雅黑" w:eastAsia="微软雅黑"/>
          <w:color w:val="auto"/>
          <w:sz w:val="24"/>
          <w:szCs w:val="24"/>
        </w:rPr>
        <w:t>之间为严重污染。</w:t>
      </w:r>
      <w:r>
        <w:rPr>
          <w:rFonts w:ascii="微软雅黑" w:hAnsi="微软雅黑" w:eastAsia="微软雅黑"/>
          <w:color w:val="auto"/>
          <w:sz w:val="24"/>
          <w:szCs w:val="24"/>
        </w:rPr>
        <w:t>AQI</w:t>
      </w:r>
      <w:r>
        <w:rPr>
          <w:rFonts w:hint="eastAsia" w:ascii="微软雅黑" w:hAnsi="微软雅黑" w:eastAsia="微软雅黑"/>
          <w:color w:val="auto"/>
          <w:sz w:val="24"/>
          <w:szCs w:val="24"/>
        </w:rPr>
        <w:t>超过</w:t>
      </w:r>
      <w:r>
        <w:rPr>
          <w:rFonts w:ascii="微软雅黑" w:hAnsi="微软雅黑" w:eastAsia="微软雅黑"/>
          <w:color w:val="auto"/>
          <w:sz w:val="24"/>
          <w:szCs w:val="24"/>
        </w:rPr>
        <w:t>200</w:t>
      </w:r>
      <w:r>
        <w:rPr>
          <w:rFonts w:hint="eastAsia" w:ascii="微软雅黑" w:hAnsi="微软雅黑" w:eastAsia="微软雅黑"/>
          <w:color w:val="auto"/>
          <w:sz w:val="24"/>
          <w:szCs w:val="24"/>
        </w:rPr>
        <w:t>时，中华人民共和国环境保护部建议有心脏或肺部疾病的人、老人和小孩减少外出，并采取相应的防护措施</w:t>
      </w:r>
      <w:r>
        <w:rPr>
          <w:rFonts w:ascii="微软雅黑" w:hAnsi="微软雅黑" w:eastAsia="微软雅黑"/>
          <w:color w:val="auto"/>
          <w:sz w:val="24"/>
          <w:szCs w:val="24"/>
        </w:rPr>
        <w:t>(</w:t>
      </w:r>
      <w:r>
        <w:rPr>
          <w:rFonts w:hint="eastAsia" w:ascii="微软雅黑" w:hAnsi="微软雅黑" w:eastAsia="微软雅黑"/>
          <w:color w:val="auto"/>
          <w:sz w:val="24"/>
          <w:szCs w:val="24"/>
        </w:rPr>
        <w:t>如出外佩戴口罩、在室内使用空气净化器等</w:t>
      </w:r>
      <w:r>
        <w:rPr>
          <w:rFonts w:ascii="微软雅黑" w:hAnsi="微软雅黑" w:eastAsia="微软雅黑"/>
          <w:color w:val="auto"/>
          <w:sz w:val="24"/>
          <w:szCs w:val="24"/>
        </w:rPr>
        <w:t>)</w:t>
      </w:r>
      <w:r>
        <w:rPr>
          <w:rFonts w:hint="eastAsia" w:ascii="微软雅黑" w:hAnsi="微软雅黑" w:eastAsia="微软雅黑"/>
          <w:color w:val="auto"/>
          <w:sz w:val="24"/>
          <w:szCs w:val="24"/>
        </w:rPr>
        <w:t xml:space="preserve">。 </w:t>
      </w:r>
    </w:p>
    <w:p>
      <w:pPr>
        <w:spacing w:line="400" w:lineRule="exact"/>
        <w:rPr>
          <w:rFonts w:ascii="Microsoft JhengHei" w:hAnsi="Microsoft JhengHei" w:eastAsia="Microsoft JhengHei"/>
          <w:color w:val="auto"/>
          <w:sz w:val="24"/>
          <w:szCs w:val="24"/>
          <w:lang w:eastAsia="zh-TW"/>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成都市环保监测中心每日对成都的空气质量进行预报，同时综合考虑空气污染程度和持续时间，将空气重度污染分为</w:t>
      </w:r>
      <w:r>
        <w:rPr>
          <w:rFonts w:ascii="微软雅黑" w:hAnsi="微软雅黑" w:eastAsia="微软雅黑"/>
          <w:color w:val="auto"/>
          <w:sz w:val="24"/>
          <w:szCs w:val="24"/>
        </w:rPr>
        <w:t>4</w:t>
      </w:r>
      <w:r>
        <w:rPr>
          <w:rFonts w:hint="eastAsia" w:ascii="微软雅黑" w:hAnsi="微软雅黑" w:eastAsia="微软雅黑"/>
          <w:color w:val="auto"/>
          <w:sz w:val="24"/>
          <w:szCs w:val="24"/>
        </w:rPr>
        <w:t>个预警级别，分别用蓝色</w:t>
      </w:r>
      <w:r>
        <w:rPr>
          <w:rFonts w:ascii="微软雅黑" w:hAnsi="微软雅黑" w:eastAsia="微软雅黑"/>
          <w:color w:val="auto"/>
          <w:sz w:val="24"/>
          <w:szCs w:val="24"/>
        </w:rPr>
        <w:t>(</w:t>
      </w:r>
      <w:r>
        <w:rPr>
          <w:rFonts w:hint="eastAsia" w:ascii="微软雅黑" w:hAnsi="微软雅黑" w:eastAsia="微软雅黑"/>
          <w:color w:val="auto"/>
          <w:sz w:val="24"/>
          <w:szCs w:val="24"/>
        </w:rPr>
        <w:t>四级</w:t>
      </w:r>
      <w:r>
        <w:rPr>
          <w:rFonts w:ascii="微软雅黑" w:hAnsi="微软雅黑" w:eastAsia="微软雅黑"/>
          <w:color w:val="auto"/>
          <w:sz w:val="24"/>
          <w:szCs w:val="24"/>
        </w:rPr>
        <w:t>)</w:t>
      </w:r>
      <w:r>
        <w:rPr>
          <w:rFonts w:hint="eastAsia" w:ascii="微软雅黑" w:hAnsi="微软雅黑" w:eastAsia="微软雅黑"/>
          <w:color w:val="auto"/>
          <w:sz w:val="24"/>
          <w:szCs w:val="24"/>
        </w:rPr>
        <w:t>、黄色</w:t>
      </w:r>
      <w:r>
        <w:rPr>
          <w:rFonts w:ascii="微软雅黑" w:hAnsi="微软雅黑" w:eastAsia="微软雅黑"/>
          <w:color w:val="auto"/>
          <w:sz w:val="24"/>
          <w:szCs w:val="24"/>
        </w:rPr>
        <w:t>(</w:t>
      </w:r>
      <w:r>
        <w:rPr>
          <w:rFonts w:hint="eastAsia" w:ascii="微软雅黑" w:hAnsi="微软雅黑" w:eastAsia="微软雅黑"/>
          <w:color w:val="auto"/>
          <w:sz w:val="24"/>
          <w:szCs w:val="24"/>
        </w:rPr>
        <w:t>三级</w:t>
      </w:r>
      <w:r>
        <w:rPr>
          <w:rFonts w:ascii="微软雅黑" w:hAnsi="微软雅黑" w:eastAsia="微软雅黑"/>
          <w:color w:val="auto"/>
          <w:sz w:val="24"/>
          <w:szCs w:val="24"/>
        </w:rPr>
        <w:t>)</w:t>
      </w:r>
      <w:r>
        <w:rPr>
          <w:rFonts w:hint="eastAsia" w:ascii="微软雅黑" w:hAnsi="微软雅黑" w:eastAsia="微软雅黑"/>
          <w:color w:val="auto"/>
          <w:sz w:val="24"/>
          <w:szCs w:val="24"/>
        </w:rPr>
        <w:t>、橙色</w:t>
      </w:r>
      <w:r>
        <w:rPr>
          <w:rFonts w:ascii="微软雅黑" w:hAnsi="微软雅黑" w:eastAsia="微软雅黑"/>
          <w:color w:val="auto"/>
          <w:sz w:val="24"/>
          <w:szCs w:val="24"/>
        </w:rPr>
        <w:t>(</w:t>
      </w:r>
      <w:r>
        <w:rPr>
          <w:rFonts w:hint="eastAsia" w:ascii="微软雅黑" w:hAnsi="微软雅黑" w:eastAsia="微软雅黑"/>
          <w:color w:val="auto"/>
          <w:sz w:val="24"/>
          <w:szCs w:val="24"/>
        </w:rPr>
        <w:t>二级</w:t>
      </w:r>
      <w:r>
        <w:rPr>
          <w:rFonts w:ascii="微软雅黑" w:hAnsi="微软雅黑" w:eastAsia="微软雅黑"/>
          <w:color w:val="auto"/>
          <w:sz w:val="24"/>
          <w:szCs w:val="24"/>
        </w:rPr>
        <w:t>)</w:t>
      </w:r>
      <w:r>
        <w:rPr>
          <w:rFonts w:hint="eastAsia" w:ascii="微软雅黑" w:hAnsi="微软雅黑" w:eastAsia="微软雅黑"/>
          <w:color w:val="auto"/>
          <w:sz w:val="24"/>
          <w:szCs w:val="24"/>
        </w:rPr>
        <w:t>、红色</w:t>
      </w:r>
      <w:r>
        <w:rPr>
          <w:rFonts w:ascii="微软雅黑" w:hAnsi="微软雅黑" w:eastAsia="微软雅黑"/>
          <w:color w:val="auto"/>
          <w:sz w:val="24"/>
          <w:szCs w:val="24"/>
        </w:rPr>
        <w:t>(</w:t>
      </w:r>
      <w:r>
        <w:rPr>
          <w:rFonts w:hint="eastAsia" w:ascii="微软雅黑" w:hAnsi="微软雅黑" w:eastAsia="微软雅黑"/>
          <w:color w:val="auto"/>
          <w:sz w:val="24"/>
          <w:szCs w:val="24"/>
        </w:rPr>
        <w:t>一级</w:t>
      </w:r>
      <w:r>
        <w:rPr>
          <w:rFonts w:ascii="微软雅黑" w:hAnsi="微软雅黑" w:eastAsia="微软雅黑"/>
          <w:color w:val="auto"/>
          <w:sz w:val="24"/>
          <w:szCs w:val="24"/>
        </w:rPr>
        <w:t>)</w:t>
      </w:r>
      <w:r>
        <w:rPr>
          <w:rFonts w:hint="eastAsia" w:ascii="微软雅黑" w:hAnsi="微软雅黑" w:eastAsia="微软雅黑"/>
          <w:color w:val="auto"/>
          <w:sz w:val="24"/>
          <w:szCs w:val="24"/>
        </w:rPr>
        <w:t>标示，预警一级</w:t>
      </w:r>
      <w:r>
        <w:rPr>
          <w:rFonts w:ascii="微软雅黑" w:hAnsi="微软雅黑" w:eastAsia="微软雅黑"/>
          <w:color w:val="auto"/>
          <w:sz w:val="24"/>
          <w:szCs w:val="24"/>
        </w:rPr>
        <w:t>(</w:t>
      </w:r>
      <w:r>
        <w:rPr>
          <w:rFonts w:hint="eastAsia" w:ascii="微软雅黑" w:hAnsi="微软雅黑" w:eastAsia="微软雅黑"/>
          <w:color w:val="auto"/>
          <w:sz w:val="24"/>
          <w:szCs w:val="24"/>
        </w:rPr>
        <w:t>红色</w:t>
      </w:r>
      <w:r>
        <w:rPr>
          <w:rFonts w:ascii="微软雅黑" w:hAnsi="微软雅黑" w:eastAsia="微软雅黑"/>
          <w:color w:val="auto"/>
          <w:sz w:val="24"/>
          <w:szCs w:val="24"/>
        </w:rPr>
        <w:t>)</w:t>
      </w:r>
      <w:r>
        <w:rPr>
          <w:rFonts w:hint="eastAsia" w:ascii="微软雅黑" w:hAnsi="微软雅黑" w:eastAsia="微软雅黑"/>
          <w:color w:val="auto"/>
          <w:sz w:val="24"/>
          <w:szCs w:val="24"/>
        </w:rPr>
        <w:t>为最高级别。旅居成都人士也可不时留意其他相关机构或组织有关成都空气质量的公布及建议的防护措施。</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 xml:space="preserve">有关空气质量指数详情请参考如下网站： </w:t>
      </w: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成都市环境保护监测中心：</w:t>
      </w:r>
      <w:r>
        <w:rPr>
          <w:color w:val="auto"/>
        </w:rPr>
        <w:fldChar w:fldCharType="begin"/>
      </w:r>
      <w:r>
        <w:rPr>
          <w:color w:val="auto"/>
        </w:rPr>
        <w:instrText xml:space="preserve"> HYPERLINK "http://www.cdepb.gov.cn/" </w:instrText>
      </w:r>
      <w:r>
        <w:rPr>
          <w:color w:val="auto"/>
        </w:rPr>
        <w:fldChar w:fldCharType="separate"/>
      </w:r>
      <w:r>
        <w:rPr>
          <w:rFonts w:ascii="微软雅黑" w:hAnsi="微软雅黑" w:eastAsia="微软雅黑"/>
          <w:color w:val="auto"/>
          <w:sz w:val="24"/>
          <w:szCs w:val="24"/>
        </w:rPr>
        <w:t>http://www.cdepb.gov.cn</w:t>
      </w:r>
      <w:r>
        <w:rPr>
          <w:rFonts w:ascii="微软雅黑" w:hAnsi="微软雅黑" w:eastAsia="微软雅黑"/>
          <w:color w:val="auto"/>
          <w:sz w:val="24"/>
          <w:szCs w:val="24"/>
        </w:rPr>
        <w:fldChar w:fldCharType="end"/>
      </w:r>
    </w:p>
    <w:p>
      <w:pPr>
        <w:pStyle w:val="28"/>
        <w:numPr>
          <w:ilvl w:val="0"/>
          <w:numId w:val="2"/>
        </w:numPr>
        <w:spacing w:before="546" w:beforeLines="175"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语言</w:t>
      </w:r>
    </w:p>
    <w:p>
      <w:pPr>
        <w:spacing w:before="234" w:beforeLines="75"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成都话作为四川官方方言的一个分支，是川剧和各类曲艺的标准音。成都话具有以下特征：没有翘舌音的声母，比如，「字」和「制」同音；只有边音</w:t>
      </w:r>
      <w:r>
        <w:rPr>
          <w:rFonts w:ascii="微软雅黑" w:hAnsi="微软雅黑" w:eastAsia="微软雅黑"/>
          <w:color w:val="auto"/>
          <w:sz w:val="24"/>
          <w:szCs w:val="24"/>
        </w:rPr>
        <w:t>[l]</w:t>
      </w:r>
      <w:r>
        <w:rPr>
          <w:rFonts w:hint="eastAsia" w:ascii="微软雅黑" w:hAnsi="微软雅黑" w:eastAsia="微软雅黑"/>
          <w:color w:val="auto"/>
          <w:sz w:val="24"/>
          <w:szCs w:val="24"/>
        </w:rPr>
        <w:t>，没有鼻音</w:t>
      </w:r>
      <w:r>
        <w:rPr>
          <w:rFonts w:ascii="微软雅黑" w:hAnsi="微软雅黑" w:eastAsia="微软雅黑"/>
          <w:color w:val="auto"/>
          <w:sz w:val="24"/>
          <w:szCs w:val="24"/>
        </w:rPr>
        <w:t>[n]</w:t>
      </w:r>
      <w:r>
        <w:rPr>
          <w:rFonts w:hint="eastAsia" w:ascii="微软雅黑" w:hAnsi="微软雅黑" w:eastAsia="微软雅黑"/>
          <w:color w:val="auto"/>
          <w:sz w:val="24"/>
          <w:szCs w:val="24"/>
        </w:rPr>
        <w:t>，比如「挪」和「落」在成都话中同音。</w:t>
      </w:r>
    </w:p>
    <w:p>
      <w:pPr>
        <w:spacing w:line="400" w:lineRule="exact"/>
        <w:jc w:val="left"/>
        <w:rPr>
          <w:rFonts w:ascii="微软雅黑" w:hAnsi="微软雅黑" w:eastAsia="微软雅黑"/>
          <w:color w:val="auto"/>
          <w:sz w:val="24"/>
          <w:szCs w:val="24"/>
        </w:rPr>
      </w:pPr>
    </w:p>
    <w:p>
      <w:pPr>
        <w:spacing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而四川话是流行于四川省、重庆市（巴蜀地区）及周边省份临近地区的主要汉语言，形成于元末明初「湖广填四川」的大移民运动时期，由四川地区的巴蜀语和来自湖南、湖北、广东、江西等地的各地移民方言逐渐演变融合而成。四川话的使用人口主要分布于四川盆地一带，覆盖了除部分非汉族聚居区外的整个四川省和重庆市，内部互通度较高，各方言区交流并无障碍。</w:t>
      </w:r>
    </w:p>
    <w:p>
      <w:pPr>
        <w:widowControl/>
        <w:jc w:val="left"/>
        <w:rPr>
          <w:rFonts w:ascii="微软雅黑" w:hAnsi="微软雅黑" w:eastAsia="微软雅黑"/>
          <w:color w:val="auto"/>
          <w:sz w:val="24"/>
          <w:szCs w:val="24"/>
        </w:rPr>
      </w:pPr>
      <w:r>
        <w:rPr>
          <w:rFonts w:ascii="微软雅黑" w:hAnsi="微软雅黑" w:eastAsia="微软雅黑"/>
          <w:color w:val="auto"/>
          <w:sz w:val="24"/>
          <w:szCs w:val="24"/>
        </w:rPr>
        <w:br w:type="page"/>
      </w:r>
    </w:p>
    <w:p>
      <w:pPr>
        <w:pStyle w:val="28"/>
        <w:numPr>
          <w:ilvl w:val="0"/>
          <w:numId w:val="2"/>
        </w:numPr>
        <w:spacing w:before="546" w:beforeLines="175"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电压</w:t>
      </w:r>
    </w:p>
    <w:p>
      <w:pPr>
        <w:spacing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内地的生活用电压为</w:t>
      </w:r>
      <w:r>
        <w:rPr>
          <w:rFonts w:ascii="微软雅黑" w:hAnsi="微软雅黑" w:eastAsia="微软雅黑"/>
          <w:color w:val="auto"/>
          <w:sz w:val="24"/>
          <w:szCs w:val="24"/>
        </w:rPr>
        <w:t>220</w:t>
      </w:r>
      <w:r>
        <w:rPr>
          <w:rFonts w:hint="eastAsia" w:ascii="微软雅黑" w:hAnsi="微软雅黑" w:eastAsia="微软雅黑"/>
          <w:color w:val="auto"/>
          <w:sz w:val="24"/>
          <w:szCs w:val="24"/>
        </w:rPr>
        <w:t>伏</w:t>
      </w:r>
    </w:p>
    <w:p>
      <w:pPr>
        <w:pStyle w:val="28"/>
        <w:numPr>
          <w:ilvl w:val="0"/>
          <w:numId w:val="2"/>
        </w:numPr>
        <w:spacing w:before="468" w:beforeLines="15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货币</w:t>
      </w:r>
    </w:p>
    <w:p>
      <w:pPr>
        <w:spacing w:before="234" w:beforeLines="75"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内地的官方货币为人民币。目前在外流通的纸币面值有</w:t>
      </w:r>
      <w:r>
        <w:rPr>
          <w:rFonts w:ascii="微软雅黑" w:hAnsi="微软雅黑" w:eastAsia="微软雅黑"/>
          <w:color w:val="auto"/>
          <w:sz w:val="24"/>
          <w:szCs w:val="24"/>
        </w:rPr>
        <w:t>1</w:t>
      </w:r>
      <w:r>
        <w:rPr>
          <w:rFonts w:hint="eastAsia" w:ascii="微软雅黑" w:hAnsi="微软雅黑" w:eastAsia="微软雅黑"/>
          <w:color w:val="auto"/>
          <w:sz w:val="24"/>
          <w:szCs w:val="24"/>
        </w:rPr>
        <w:t>、</w:t>
      </w:r>
      <w:r>
        <w:rPr>
          <w:rFonts w:ascii="微软雅黑" w:hAnsi="微软雅黑" w:eastAsia="微软雅黑"/>
          <w:color w:val="auto"/>
          <w:sz w:val="24"/>
          <w:szCs w:val="24"/>
        </w:rPr>
        <w:t>5</w:t>
      </w:r>
      <w:r>
        <w:rPr>
          <w:rFonts w:hint="eastAsia" w:ascii="微软雅黑" w:hAnsi="微软雅黑" w:eastAsia="微软雅黑"/>
          <w:color w:val="auto"/>
          <w:sz w:val="24"/>
          <w:szCs w:val="24"/>
        </w:rPr>
        <w:t>、</w:t>
      </w:r>
      <w:r>
        <w:rPr>
          <w:rFonts w:ascii="微软雅黑" w:hAnsi="微软雅黑" w:eastAsia="微软雅黑"/>
          <w:color w:val="auto"/>
          <w:sz w:val="24"/>
          <w:szCs w:val="24"/>
        </w:rPr>
        <w:t>10</w:t>
      </w:r>
      <w:r>
        <w:rPr>
          <w:rFonts w:hint="eastAsia" w:ascii="微软雅黑" w:hAnsi="微软雅黑" w:eastAsia="微软雅黑"/>
          <w:color w:val="auto"/>
          <w:sz w:val="24"/>
          <w:szCs w:val="24"/>
        </w:rPr>
        <w:t>、</w:t>
      </w:r>
      <w:r>
        <w:rPr>
          <w:rFonts w:ascii="微软雅黑" w:hAnsi="微软雅黑" w:eastAsia="微软雅黑"/>
          <w:color w:val="auto"/>
          <w:sz w:val="24"/>
          <w:szCs w:val="24"/>
        </w:rPr>
        <w:t>20</w:t>
      </w:r>
      <w:r>
        <w:rPr>
          <w:rFonts w:hint="eastAsia" w:ascii="微软雅黑" w:hAnsi="微软雅黑" w:eastAsia="微软雅黑"/>
          <w:color w:val="auto"/>
          <w:sz w:val="24"/>
          <w:szCs w:val="24"/>
        </w:rPr>
        <w:t>、</w:t>
      </w:r>
      <w:r>
        <w:rPr>
          <w:rFonts w:ascii="微软雅黑" w:hAnsi="微软雅黑" w:eastAsia="微软雅黑"/>
          <w:color w:val="auto"/>
          <w:sz w:val="24"/>
          <w:szCs w:val="24"/>
        </w:rPr>
        <w:t>50</w:t>
      </w:r>
      <w:r>
        <w:rPr>
          <w:rFonts w:hint="eastAsia" w:ascii="微软雅黑" w:hAnsi="微软雅黑" w:eastAsia="微软雅黑"/>
          <w:color w:val="auto"/>
          <w:sz w:val="24"/>
          <w:szCs w:val="24"/>
        </w:rPr>
        <w:t>、</w:t>
      </w:r>
      <w:r>
        <w:rPr>
          <w:rFonts w:ascii="微软雅黑" w:hAnsi="微软雅黑" w:eastAsia="微软雅黑"/>
          <w:color w:val="auto"/>
          <w:sz w:val="24"/>
          <w:szCs w:val="24"/>
        </w:rPr>
        <w:t>100</w:t>
      </w:r>
      <w:r>
        <w:rPr>
          <w:rFonts w:hint="eastAsia" w:ascii="微软雅黑" w:hAnsi="微软雅黑" w:eastAsia="微软雅黑"/>
          <w:color w:val="auto"/>
          <w:sz w:val="24"/>
          <w:szCs w:val="24"/>
        </w:rPr>
        <w:t>元及</w:t>
      </w:r>
      <w:r>
        <w:rPr>
          <w:rFonts w:ascii="微软雅黑" w:hAnsi="微软雅黑" w:eastAsia="微软雅黑"/>
          <w:color w:val="auto"/>
          <w:sz w:val="24"/>
          <w:szCs w:val="24"/>
        </w:rPr>
        <w:t>1</w:t>
      </w:r>
      <w:r>
        <w:rPr>
          <w:rFonts w:hint="eastAsia" w:ascii="微软雅黑" w:hAnsi="微软雅黑" w:eastAsia="微软雅黑"/>
          <w:color w:val="auto"/>
          <w:sz w:val="24"/>
          <w:szCs w:val="24"/>
        </w:rPr>
        <w:t>、</w:t>
      </w:r>
      <w:r>
        <w:rPr>
          <w:rFonts w:ascii="微软雅黑" w:hAnsi="微软雅黑" w:eastAsia="微软雅黑"/>
          <w:color w:val="auto"/>
          <w:sz w:val="24"/>
          <w:szCs w:val="24"/>
        </w:rPr>
        <w:t>5</w:t>
      </w:r>
      <w:r>
        <w:rPr>
          <w:rFonts w:hint="eastAsia" w:ascii="微软雅黑" w:hAnsi="微软雅黑" w:eastAsia="微软雅黑"/>
          <w:color w:val="auto"/>
          <w:sz w:val="24"/>
          <w:szCs w:val="24"/>
        </w:rPr>
        <w:t>角，硬币面值有</w:t>
      </w:r>
      <w:r>
        <w:rPr>
          <w:rFonts w:ascii="微软雅黑" w:hAnsi="微软雅黑" w:eastAsia="微软雅黑"/>
          <w:color w:val="auto"/>
          <w:sz w:val="24"/>
          <w:szCs w:val="24"/>
        </w:rPr>
        <w:t>1</w:t>
      </w:r>
      <w:r>
        <w:rPr>
          <w:rFonts w:hint="eastAsia" w:ascii="微软雅黑" w:hAnsi="微软雅黑" w:eastAsia="微软雅黑"/>
          <w:color w:val="auto"/>
          <w:sz w:val="24"/>
          <w:szCs w:val="24"/>
        </w:rPr>
        <w:t>角、</w:t>
      </w:r>
      <w:r>
        <w:rPr>
          <w:rFonts w:ascii="微软雅黑" w:hAnsi="微软雅黑" w:eastAsia="微软雅黑"/>
          <w:color w:val="auto"/>
          <w:sz w:val="24"/>
          <w:szCs w:val="24"/>
        </w:rPr>
        <w:t>5</w:t>
      </w:r>
      <w:r>
        <w:rPr>
          <w:rFonts w:hint="eastAsia" w:ascii="微软雅黑" w:hAnsi="微软雅黑" w:eastAsia="微软雅黑"/>
          <w:color w:val="auto"/>
          <w:sz w:val="24"/>
          <w:szCs w:val="24"/>
        </w:rPr>
        <w:t>角和</w:t>
      </w:r>
      <w:r>
        <w:rPr>
          <w:rFonts w:ascii="微软雅黑" w:hAnsi="微软雅黑" w:eastAsia="微软雅黑"/>
          <w:color w:val="auto"/>
          <w:sz w:val="24"/>
          <w:szCs w:val="24"/>
        </w:rPr>
        <w:t>1</w:t>
      </w:r>
      <w:r>
        <w:rPr>
          <w:rFonts w:hint="eastAsia" w:ascii="微软雅黑" w:hAnsi="微软雅黑" w:eastAsia="微软雅黑"/>
          <w:color w:val="auto"/>
          <w:sz w:val="24"/>
          <w:szCs w:val="24"/>
        </w:rPr>
        <w:t>元。大型银行的各个分行也可以进行货币兑换。</w:t>
      </w:r>
    </w:p>
    <w:p>
      <w:pPr>
        <w:spacing w:before="234" w:beforeLines="75" w:line="400" w:lineRule="exact"/>
        <w:rPr>
          <w:rFonts w:ascii="微软雅黑" w:hAnsi="微软雅黑" w:eastAsia="微软雅黑"/>
          <w:color w:val="auto"/>
          <w:sz w:val="24"/>
          <w:szCs w:val="24"/>
        </w:rPr>
      </w:pPr>
    </w:p>
    <w:p>
      <w:pPr>
        <w:spacing w:before="234" w:beforeLines="75"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在内地生活，除了备有现金外，也可以在内地银行开立个人账户，并可以申请办理网上银行服务</w:t>
      </w:r>
      <w:r>
        <w:rPr>
          <w:rFonts w:hint="eastAsia" w:ascii="微软雅黑" w:hAnsi="微软雅黑" w:eastAsia="微软雅黑"/>
          <w:color w:val="auto"/>
          <w:sz w:val="24"/>
          <w:szCs w:val="24"/>
          <w:lang w:eastAsia="zh-CN"/>
        </w:rPr>
        <w:t>。</w:t>
      </w:r>
    </w:p>
    <w:p>
      <w:pPr>
        <w:spacing w:line="400" w:lineRule="exact"/>
        <w:rPr>
          <w:rFonts w:ascii="微软雅黑" w:hAnsi="微软雅黑" w:eastAsia="微软雅黑"/>
          <w:color w:val="auto"/>
          <w:sz w:val="24"/>
          <w:szCs w:val="24"/>
        </w:rPr>
      </w:pPr>
    </w:p>
    <w:p>
      <w:pPr>
        <w:spacing w:before="234" w:beforeLines="75"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如有需要，请向各银行查询开立个人账户的手续和详情。</w:t>
      </w:r>
    </w:p>
    <w:p>
      <w:pPr>
        <w:widowControl/>
        <w:jc w:val="left"/>
        <w:rPr>
          <w:rFonts w:ascii="微软雅黑" w:hAnsi="微软雅黑" w:eastAsia="微软雅黑"/>
          <w:color w:val="auto"/>
          <w:sz w:val="24"/>
          <w:szCs w:val="24"/>
        </w:rPr>
      </w:pPr>
      <w:r>
        <w:rPr>
          <w:rFonts w:ascii="微软雅黑" w:hAnsi="微软雅黑" w:eastAsia="微软雅黑"/>
          <w:color w:val="auto"/>
          <w:sz w:val="24"/>
          <w:szCs w:val="24"/>
        </w:rPr>
        <w:br w:type="page"/>
      </w:r>
    </w:p>
    <w:p>
      <w:pPr>
        <w:pStyle w:val="28"/>
        <w:numPr>
          <w:ilvl w:val="0"/>
          <w:numId w:val="2"/>
        </w:numPr>
        <w:spacing w:before="468" w:beforeLines="150" w:after="156" w:afterLines="5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公共假期</w:t>
      </w:r>
    </w:p>
    <w:tbl>
      <w:tblPr>
        <w:tblStyle w:val="24"/>
        <w:tblW w:w="9231" w:type="dxa"/>
        <w:jc w:val="center"/>
        <w:tblInd w:w="0" w:type="dxa"/>
        <w:tblLayout w:type="fixed"/>
        <w:tblCellMar>
          <w:top w:w="0" w:type="dxa"/>
          <w:left w:w="108" w:type="dxa"/>
          <w:bottom w:w="0" w:type="dxa"/>
          <w:right w:w="108" w:type="dxa"/>
        </w:tblCellMar>
      </w:tblPr>
      <w:tblGrid>
        <w:gridCol w:w="1214"/>
        <w:gridCol w:w="3081"/>
        <w:gridCol w:w="4936"/>
      </w:tblGrid>
      <w:tr>
        <w:tblPrEx>
          <w:tblLayout w:type="fixed"/>
          <w:tblCellMar>
            <w:top w:w="0" w:type="dxa"/>
            <w:left w:w="108" w:type="dxa"/>
            <w:bottom w:w="0" w:type="dxa"/>
            <w:right w:w="108" w:type="dxa"/>
          </w:tblCellMar>
        </w:tblPrEx>
        <w:trPr>
          <w:trHeight w:val="20" w:hRule="atLeast"/>
          <w:jc w:val="center"/>
        </w:trPr>
        <w:tc>
          <w:tcPr>
            <w:tcW w:w="1214" w:type="dxa"/>
            <w:tcBorders>
              <w:top w:val="single" w:color="auto" w:sz="4" w:space="0"/>
              <w:left w:val="single" w:color="auto" w:sz="4" w:space="0"/>
              <w:bottom w:val="single" w:color="auto" w:sz="4" w:space="0"/>
              <w:right w:val="single" w:color="auto" w:sz="4" w:space="0"/>
            </w:tcBorders>
            <w:shd w:val="clear" w:color="auto" w:fill="auto"/>
          </w:tcPr>
          <w:p>
            <w:pPr>
              <w:widowControl/>
              <w:spacing w:line="400" w:lineRule="exact"/>
              <w:jc w:val="center"/>
              <w:rPr>
                <w:rFonts w:ascii="微软雅黑" w:hAnsi="微软雅黑" w:eastAsia="微软雅黑"/>
                <w:b/>
                <w:color w:val="auto"/>
                <w:sz w:val="24"/>
                <w:szCs w:val="24"/>
                <w:lang w:eastAsia="zh-TW"/>
              </w:rPr>
            </w:pPr>
            <w:r>
              <w:rPr>
                <w:rFonts w:hint="eastAsia" w:ascii="微软雅黑" w:hAnsi="微软雅黑" w:eastAsia="微软雅黑"/>
                <w:b/>
                <w:color w:val="auto"/>
                <w:sz w:val="24"/>
                <w:szCs w:val="24"/>
              </w:rPr>
              <w:t>节日</w:t>
            </w:r>
          </w:p>
        </w:tc>
        <w:tc>
          <w:tcPr>
            <w:tcW w:w="3081" w:type="dxa"/>
            <w:tcBorders>
              <w:top w:val="single" w:color="auto" w:sz="4" w:space="0"/>
              <w:left w:val="nil"/>
              <w:bottom w:val="single" w:color="auto" w:sz="4" w:space="0"/>
              <w:right w:val="single" w:color="auto" w:sz="4" w:space="0"/>
            </w:tcBorders>
            <w:shd w:val="clear" w:color="auto" w:fill="auto"/>
          </w:tcPr>
          <w:p>
            <w:pPr>
              <w:widowControl/>
              <w:spacing w:line="400" w:lineRule="exact"/>
              <w:jc w:val="center"/>
              <w:rPr>
                <w:rFonts w:ascii="微软雅黑" w:hAnsi="微软雅黑" w:eastAsia="微软雅黑"/>
                <w:b/>
                <w:color w:val="auto"/>
                <w:sz w:val="24"/>
                <w:szCs w:val="24"/>
                <w:lang w:eastAsia="zh-TW"/>
              </w:rPr>
            </w:pPr>
            <w:r>
              <w:rPr>
                <w:rFonts w:hint="eastAsia" w:ascii="微软雅黑" w:hAnsi="微软雅黑" w:eastAsia="微软雅黑"/>
                <w:b/>
                <w:color w:val="auto"/>
                <w:sz w:val="24"/>
                <w:szCs w:val="24"/>
              </w:rPr>
              <w:t>放假天数</w:t>
            </w:r>
          </w:p>
        </w:tc>
        <w:tc>
          <w:tcPr>
            <w:tcW w:w="4936" w:type="dxa"/>
            <w:tcBorders>
              <w:top w:val="single" w:color="auto" w:sz="4" w:space="0"/>
              <w:left w:val="nil"/>
              <w:bottom w:val="single" w:color="auto" w:sz="4" w:space="0"/>
              <w:right w:val="single" w:color="auto" w:sz="4" w:space="0"/>
            </w:tcBorders>
            <w:shd w:val="clear" w:color="auto" w:fill="auto"/>
          </w:tcPr>
          <w:p>
            <w:pPr>
              <w:widowControl/>
              <w:spacing w:line="400" w:lineRule="exact"/>
              <w:jc w:val="center"/>
              <w:rPr>
                <w:rFonts w:ascii="微软雅黑" w:hAnsi="微软雅黑" w:eastAsia="微软雅黑"/>
                <w:b/>
                <w:color w:val="auto"/>
                <w:sz w:val="24"/>
                <w:szCs w:val="24"/>
                <w:lang w:eastAsia="zh-TW"/>
              </w:rPr>
            </w:pPr>
            <w:r>
              <w:rPr>
                <w:rFonts w:hint="eastAsia" w:ascii="微软雅黑" w:hAnsi="微软雅黑" w:eastAsia="微软雅黑"/>
                <w:b/>
                <w:color w:val="auto"/>
                <w:sz w:val="24"/>
                <w:szCs w:val="24"/>
              </w:rPr>
              <w:t>放假时间</w:t>
            </w:r>
          </w:p>
        </w:tc>
      </w:tr>
      <w:tr>
        <w:tblPrEx>
          <w:tblLayout w:type="fixed"/>
          <w:tblCellMar>
            <w:top w:w="0" w:type="dxa"/>
            <w:left w:w="108" w:type="dxa"/>
            <w:bottom w:w="0" w:type="dxa"/>
            <w:right w:w="108" w:type="dxa"/>
          </w:tblCellMar>
        </w:tblPrEx>
        <w:trPr>
          <w:trHeight w:val="773" w:hRule="atLeast"/>
          <w:jc w:val="center"/>
        </w:trPr>
        <w:tc>
          <w:tcPr>
            <w:tcW w:w="1214" w:type="dxa"/>
            <w:tcBorders>
              <w:top w:val="nil"/>
              <w:left w:val="single" w:color="auto" w:sz="4" w:space="0"/>
              <w:bottom w:val="single" w:color="auto" w:sz="4" w:space="0"/>
              <w:right w:val="single" w:color="auto" w:sz="4" w:space="0"/>
            </w:tcBorders>
            <w:shd w:val="clear" w:color="auto" w:fill="auto"/>
          </w:tcPr>
          <w:p>
            <w:pPr>
              <w:widowControl/>
              <w:spacing w:line="400" w:lineRule="exact"/>
              <w:jc w:val="center"/>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元旦</w:t>
            </w:r>
          </w:p>
        </w:tc>
        <w:tc>
          <w:tcPr>
            <w:tcW w:w="3081" w:type="dxa"/>
            <w:tcBorders>
              <w:top w:val="nil"/>
              <w:left w:val="nil"/>
              <w:bottom w:val="single" w:color="auto" w:sz="4" w:space="0"/>
              <w:right w:val="single" w:color="auto" w:sz="4" w:space="0"/>
            </w:tcBorders>
            <w:shd w:val="clear" w:color="auto" w:fill="auto"/>
          </w:tcPr>
          <w:p>
            <w:pPr>
              <w:widowControl/>
              <w:spacing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每年</w:t>
            </w:r>
            <w:r>
              <w:rPr>
                <w:rFonts w:ascii="微软雅黑" w:hAnsi="微软雅黑" w:eastAsia="微软雅黑"/>
                <w:color w:val="auto"/>
                <w:sz w:val="24"/>
                <w:szCs w:val="24"/>
              </w:rPr>
              <w:t>1</w:t>
            </w:r>
            <w:r>
              <w:rPr>
                <w:rFonts w:hint="eastAsia" w:ascii="微软雅黑" w:hAnsi="微软雅黑" w:eastAsia="微软雅黑"/>
                <w:color w:val="auto"/>
                <w:sz w:val="24"/>
                <w:szCs w:val="24"/>
              </w:rPr>
              <w:t>月</w:t>
            </w:r>
            <w:r>
              <w:rPr>
                <w:rFonts w:ascii="微软雅黑" w:hAnsi="微软雅黑" w:eastAsia="微软雅黑"/>
                <w:color w:val="auto"/>
                <w:sz w:val="24"/>
                <w:szCs w:val="24"/>
              </w:rPr>
              <w:t>1</w:t>
            </w:r>
            <w:r>
              <w:rPr>
                <w:rFonts w:hint="eastAsia" w:ascii="微软雅黑" w:hAnsi="微软雅黑" w:eastAsia="微软雅黑"/>
                <w:color w:val="auto"/>
                <w:sz w:val="24"/>
                <w:szCs w:val="24"/>
              </w:rPr>
              <w:t>日，全国放假</w:t>
            </w:r>
            <w:r>
              <w:rPr>
                <w:rFonts w:ascii="微软雅黑" w:hAnsi="微软雅黑" w:eastAsia="微软雅黑"/>
                <w:color w:val="auto"/>
                <w:sz w:val="24"/>
                <w:szCs w:val="24"/>
              </w:rPr>
              <w:t>1</w:t>
            </w:r>
            <w:r>
              <w:rPr>
                <w:rFonts w:hint="eastAsia" w:ascii="微软雅黑" w:hAnsi="微软雅黑" w:eastAsia="微软雅黑"/>
                <w:color w:val="auto"/>
                <w:sz w:val="24"/>
                <w:szCs w:val="24"/>
              </w:rPr>
              <w:t>天。</w:t>
            </w:r>
          </w:p>
        </w:tc>
        <w:tc>
          <w:tcPr>
            <w:tcW w:w="4936" w:type="dxa"/>
            <w:tcBorders>
              <w:top w:val="nil"/>
              <w:left w:val="nil"/>
              <w:bottom w:val="single" w:color="auto" w:sz="4" w:space="0"/>
              <w:right w:val="single" w:color="auto" w:sz="4" w:space="0"/>
            </w:tcBorders>
            <w:shd w:val="clear" w:color="auto" w:fill="auto"/>
          </w:tcPr>
          <w:p>
            <w:pPr>
              <w:widowControl/>
              <w:spacing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惯例是将最近的一个周末调休到</w:t>
            </w:r>
            <w:r>
              <w:rPr>
                <w:rFonts w:ascii="微软雅黑" w:hAnsi="微软雅黑" w:eastAsia="微软雅黑"/>
                <w:color w:val="auto"/>
                <w:sz w:val="24"/>
                <w:szCs w:val="24"/>
              </w:rPr>
              <w:t>1</w:t>
            </w:r>
            <w:r>
              <w:rPr>
                <w:rFonts w:hint="eastAsia" w:ascii="微软雅黑" w:hAnsi="微软雅黑" w:eastAsia="微软雅黑"/>
                <w:color w:val="auto"/>
                <w:sz w:val="24"/>
                <w:szCs w:val="24"/>
              </w:rPr>
              <w:t>月</w:t>
            </w:r>
            <w:r>
              <w:rPr>
                <w:rFonts w:ascii="微软雅黑" w:hAnsi="微软雅黑" w:eastAsia="微软雅黑"/>
                <w:color w:val="auto"/>
                <w:sz w:val="24"/>
                <w:szCs w:val="24"/>
              </w:rPr>
              <w:t>1</w:t>
            </w:r>
            <w:r>
              <w:rPr>
                <w:rFonts w:hint="eastAsia" w:ascii="微软雅黑" w:hAnsi="微软雅黑" w:eastAsia="微软雅黑"/>
                <w:color w:val="auto"/>
                <w:sz w:val="24"/>
                <w:szCs w:val="24"/>
              </w:rPr>
              <w:t>日前后，总共连续休假</w:t>
            </w:r>
            <w:r>
              <w:rPr>
                <w:rFonts w:ascii="微软雅黑" w:hAnsi="微软雅黑" w:eastAsia="微软雅黑"/>
                <w:color w:val="auto"/>
                <w:sz w:val="24"/>
                <w:szCs w:val="24"/>
              </w:rPr>
              <w:t>3</w:t>
            </w:r>
            <w:r>
              <w:rPr>
                <w:rFonts w:hint="eastAsia" w:ascii="微软雅黑" w:hAnsi="微软雅黑" w:eastAsia="微软雅黑"/>
                <w:color w:val="auto"/>
                <w:sz w:val="24"/>
                <w:szCs w:val="24"/>
              </w:rPr>
              <w:t>天。</w:t>
            </w:r>
          </w:p>
        </w:tc>
      </w:tr>
      <w:tr>
        <w:tblPrEx>
          <w:tblLayout w:type="fixed"/>
          <w:tblCellMar>
            <w:top w:w="0" w:type="dxa"/>
            <w:left w:w="108" w:type="dxa"/>
            <w:bottom w:w="0" w:type="dxa"/>
            <w:right w:w="108" w:type="dxa"/>
          </w:tblCellMar>
        </w:tblPrEx>
        <w:trPr>
          <w:trHeight w:val="1224" w:hRule="atLeast"/>
          <w:jc w:val="center"/>
        </w:trPr>
        <w:tc>
          <w:tcPr>
            <w:tcW w:w="1214" w:type="dxa"/>
            <w:tcBorders>
              <w:top w:val="nil"/>
              <w:left w:val="single" w:color="auto" w:sz="4" w:space="0"/>
              <w:bottom w:val="single" w:color="auto" w:sz="4" w:space="0"/>
              <w:right w:val="single" w:color="auto" w:sz="4" w:space="0"/>
            </w:tcBorders>
            <w:shd w:val="clear" w:color="auto" w:fill="auto"/>
          </w:tcPr>
          <w:p>
            <w:pPr>
              <w:widowControl/>
              <w:spacing w:line="400" w:lineRule="exact"/>
              <w:jc w:val="center"/>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春节</w:t>
            </w:r>
          </w:p>
        </w:tc>
        <w:tc>
          <w:tcPr>
            <w:tcW w:w="3081" w:type="dxa"/>
            <w:tcBorders>
              <w:top w:val="nil"/>
              <w:left w:val="nil"/>
              <w:bottom w:val="single" w:color="auto" w:sz="4" w:space="0"/>
              <w:right w:val="single" w:color="auto" w:sz="4" w:space="0"/>
            </w:tcBorders>
            <w:shd w:val="clear" w:color="auto" w:fill="auto"/>
          </w:tcPr>
          <w:p>
            <w:pPr>
              <w:widowControl/>
              <w:spacing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每年农历正月初一至正月初三，在公历</w:t>
            </w:r>
            <w:r>
              <w:rPr>
                <w:rFonts w:ascii="微软雅黑" w:hAnsi="微软雅黑" w:eastAsia="微软雅黑"/>
                <w:color w:val="auto"/>
                <w:sz w:val="24"/>
                <w:szCs w:val="24"/>
              </w:rPr>
              <w:t>1</w:t>
            </w:r>
            <w:r>
              <w:rPr>
                <w:rFonts w:hint="eastAsia" w:ascii="微软雅黑" w:hAnsi="微软雅黑" w:eastAsia="微软雅黑"/>
                <w:color w:val="auto"/>
                <w:sz w:val="24"/>
                <w:szCs w:val="24"/>
              </w:rPr>
              <w:t>月或</w:t>
            </w:r>
            <w:r>
              <w:rPr>
                <w:rFonts w:ascii="微软雅黑" w:hAnsi="微软雅黑" w:eastAsia="微软雅黑"/>
                <w:color w:val="auto"/>
                <w:sz w:val="24"/>
                <w:szCs w:val="24"/>
              </w:rPr>
              <w:t>2</w:t>
            </w:r>
            <w:r>
              <w:rPr>
                <w:rFonts w:hint="eastAsia" w:ascii="微软雅黑" w:hAnsi="微软雅黑" w:eastAsia="微软雅黑"/>
                <w:color w:val="auto"/>
                <w:sz w:val="24"/>
                <w:szCs w:val="24"/>
              </w:rPr>
              <w:t>月份，全国放假</w:t>
            </w:r>
            <w:r>
              <w:rPr>
                <w:rFonts w:ascii="微软雅黑" w:hAnsi="微软雅黑" w:eastAsia="微软雅黑"/>
                <w:color w:val="auto"/>
                <w:sz w:val="24"/>
                <w:szCs w:val="24"/>
              </w:rPr>
              <w:t>3</w:t>
            </w:r>
            <w:r>
              <w:rPr>
                <w:rFonts w:hint="eastAsia" w:ascii="微软雅黑" w:hAnsi="微软雅黑" w:eastAsia="微软雅黑"/>
                <w:color w:val="auto"/>
                <w:sz w:val="24"/>
                <w:szCs w:val="24"/>
              </w:rPr>
              <w:t>天。</w:t>
            </w:r>
          </w:p>
        </w:tc>
        <w:tc>
          <w:tcPr>
            <w:tcW w:w="4936" w:type="dxa"/>
            <w:tcBorders>
              <w:top w:val="nil"/>
              <w:left w:val="nil"/>
              <w:bottom w:val="single" w:color="auto" w:sz="4" w:space="0"/>
              <w:right w:val="single" w:color="auto" w:sz="4" w:space="0"/>
            </w:tcBorders>
            <w:shd w:val="clear" w:color="auto" w:fill="auto"/>
          </w:tcPr>
          <w:p>
            <w:pPr>
              <w:widowControl/>
              <w:spacing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惯例是将最近的两个周末调休到春节假期前后，总共连续休假</w:t>
            </w:r>
            <w:r>
              <w:rPr>
                <w:rFonts w:ascii="微软雅黑" w:hAnsi="微软雅黑" w:eastAsia="微软雅黑"/>
                <w:color w:val="auto"/>
                <w:sz w:val="24"/>
                <w:szCs w:val="24"/>
              </w:rPr>
              <w:t>7</w:t>
            </w:r>
            <w:r>
              <w:rPr>
                <w:rFonts w:hint="eastAsia" w:ascii="微软雅黑" w:hAnsi="微软雅黑" w:eastAsia="微软雅黑"/>
                <w:color w:val="auto"/>
                <w:sz w:val="24"/>
                <w:szCs w:val="24"/>
              </w:rPr>
              <w:t>天。</w:t>
            </w:r>
          </w:p>
        </w:tc>
      </w:tr>
      <w:tr>
        <w:tblPrEx>
          <w:tblLayout w:type="fixed"/>
          <w:tblCellMar>
            <w:top w:w="0" w:type="dxa"/>
            <w:left w:w="108" w:type="dxa"/>
            <w:bottom w:w="0" w:type="dxa"/>
            <w:right w:w="108" w:type="dxa"/>
          </w:tblCellMar>
        </w:tblPrEx>
        <w:trPr>
          <w:trHeight w:val="1128" w:hRule="atLeast"/>
          <w:jc w:val="center"/>
        </w:trPr>
        <w:tc>
          <w:tcPr>
            <w:tcW w:w="1214" w:type="dxa"/>
            <w:tcBorders>
              <w:top w:val="nil"/>
              <w:left w:val="single" w:color="auto" w:sz="4" w:space="0"/>
              <w:bottom w:val="single" w:color="auto" w:sz="4" w:space="0"/>
              <w:right w:val="single" w:color="auto" w:sz="4" w:space="0"/>
            </w:tcBorders>
            <w:shd w:val="clear" w:color="auto" w:fill="auto"/>
          </w:tcPr>
          <w:p>
            <w:pPr>
              <w:widowControl/>
              <w:spacing w:line="400" w:lineRule="exact"/>
              <w:jc w:val="center"/>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清明节</w:t>
            </w:r>
          </w:p>
        </w:tc>
        <w:tc>
          <w:tcPr>
            <w:tcW w:w="3081" w:type="dxa"/>
            <w:tcBorders>
              <w:top w:val="nil"/>
              <w:left w:val="nil"/>
              <w:bottom w:val="single" w:color="auto" w:sz="4" w:space="0"/>
              <w:right w:val="single" w:color="auto" w:sz="4" w:space="0"/>
            </w:tcBorders>
            <w:shd w:val="clear" w:color="auto" w:fill="auto"/>
          </w:tcPr>
          <w:p>
            <w:pPr>
              <w:widowControl/>
              <w:spacing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每年农历清明节当日，一般在公历</w:t>
            </w:r>
            <w:r>
              <w:rPr>
                <w:rFonts w:ascii="微软雅黑" w:hAnsi="微软雅黑" w:eastAsia="微软雅黑"/>
                <w:color w:val="auto"/>
                <w:sz w:val="24"/>
                <w:szCs w:val="24"/>
              </w:rPr>
              <w:t>4</w:t>
            </w:r>
            <w:r>
              <w:rPr>
                <w:rFonts w:hint="eastAsia" w:ascii="微软雅黑" w:hAnsi="微软雅黑" w:eastAsia="微软雅黑"/>
                <w:color w:val="auto"/>
                <w:sz w:val="24"/>
                <w:szCs w:val="24"/>
              </w:rPr>
              <w:t>月份，全国放假</w:t>
            </w:r>
            <w:r>
              <w:rPr>
                <w:rFonts w:ascii="微软雅黑" w:hAnsi="微软雅黑" w:eastAsia="微软雅黑"/>
                <w:color w:val="auto"/>
                <w:sz w:val="24"/>
                <w:szCs w:val="24"/>
              </w:rPr>
              <w:t>1</w:t>
            </w:r>
            <w:r>
              <w:rPr>
                <w:rFonts w:hint="eastAsia" w:ascii="微软雅黑" w:hAnsi="微软雅黑" w:eastAsia="微软雅黑"/>
                <w:color w:val="auto"/>
                <w:sz w:val="24"/>
                <w:szCs w:val="24"/>
              </w:rPr>
              <w:t>天。</w:t>
            </w:r>
          </w:p>
        </w:tc>
        <w:tc>
          <w:tcPr>
            <w:tcW w:w="4936" w:type="dxa"/>
            <w:tcBorders>
              <w:top w:val="nil"/>
              <w:left w:val="nil"/>
              <w:bottom w:val="single" w:color="auto" w:sz="4" w:space="0"/>
              <w:right w:val="single" w:color="auto" w:sz="4" w:space="0"/>
            </w:tcBorders>
            <w:shd w:val="clear" w:color="auto" w:fill="auto"/>
          </w:tcPr>
          <w:p>
            <w:pPr>
              <w:widowControl/>
              <w:spacing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惯例是将最近的一个周末调休至清明节前后，总共连续休假</w:t>
            </w:r>
            <w:r>
              <w:rPr>
                <w:rFonts w:ascii="微软雅黑" w:hAnsi="微软雅黑" w:eastAsia="微软雅黑"/>
                <w:color w:val="auto"/>
                <w:sz w:val="24"/>
                <w:szCs w:val="24"/>
              </w:rPr>
              <w:t>3</w:t>
            </w:r>
            <w:r>
              <w:rPr>
                <w:rFonts w:hint="eastAsia" w:ascii="微软雅黑" w:hAnsi="微软雅黑" w:eastAsia="微软雅黑"/>
                <w:color w:val="auto"/>
                <w:sz w:val="24"/>
                <w:szCs w:val="24"/>
              </w:rPr>
              <w:t>天。</w:t>
            </w:r>
          </w:p>
        </w:tc>
      </w:tr>
      <w:tr>
        <w:tblPrEx>
          <w:tblLayout w:type="fixed"/>
          <w:tblCellMar>
            <w:top w:w="0" w:type="dxa"/>
            <w:left w:w="108" w:type="dxa"/>
            <w:bottom w:w="0" w:type="dxa"/>
            <w:right w:w="108" w:type="dxa"/>
          </w:tblCellMar>
        </w:tblPrEx>
        <w:trPr>
          <w:trHeight w:val="762" w:hRule="atLeast"/>
          <w:jc w:val="center"/>
        </w:trPr>
        <w:tc>
          <w:tcPr>
            <w:tcW w:w="1214" w:type="dxa"/>
            <w:tcBorders>
              <w:top w:val="nil"/>
              <w:left w:val="single" w:color="auto" w:sz="4" w:space="0"/>
              <w:bottom w:val="single" w:color="auto" w:sz="4" w:space="0"/>
              <w:right w:val="single" w:color="auto" w:sz="4" w:space="0"/>
            </w:tcBorders>
            <w:shd w:val="clear" w:color="auto" w:fill="auto"/>
          </w:tcPr>
          <w:p>
            <w:pPr>
              <w:widowControl/>
              <w:spacing w:line="400" w:lineRule="exact"/>
              <w:jc w:val="center"/>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劳动节</w:t>
            </w:r>
          </w:p>
        </w:tc>
        <w:tc>
          <w:tcPr>
            <w:tcW w:w="3081" w:type="dxa"/>
            <w:tcBorders>
              <w:top w:val="nil"/>
              <w:left w:val="nil"/>
              <w:bottom w:val="single" w:color="auto" w:sz="4" w:space="0"/>
              <w:right w:val="single" w:color="auto" w:sz="4" w:space="0"/>
            </w:tcBorders>
            <w:shd w:val="clear" w:color="auto" w:fill="auto"/>
          </w:tcPr>
          <w:p>
            <w:pPr>
              <w:widowControl/>
              <w:spacing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每年</w:t>
            </w:r>
            <w:r>
              <w:rPr>
                <w:rFonts w:ascii="微软雅黑" w:hAnsi="微软雅黑" w:eastAsia="微软雅黑"/>
                <w:color w:val="auto"/>
                <w:sz w:val="24"/>
                <w:szCs w:val="24"/>
              </w:rPr>
              <w:t>5</w:t>
            </w:r>
            <w:r>
              <w:rPr>
                <w:rFonts w:hint="eastAsia" w:ascii="微软雅黑" w:hAnsi="微软雅黑" w:eastAsia="微软雅黑"/>
                <w:color w:val="auto"/>
                <w:sz w:val="24"/>
                <w:szCs w:val="24"/>
              </w:rPr>
              <w:t>月</w:t>
            </w:r>
            <w:r>
              <w:rPr>
                <w:rFonts w:ascii="微软雅黑" w:hAnsi="微软雅黑" w:eastAsia="微软雅黑"/>
                <w:color w:val="auto"/>
                <w:sz w:val="24"/>
                <w:szCs w:val="24"/>
              </w:rPr>
              <w:t>1</w:t>
            </w:r>
            <w:r>
              <w:rPr>
                <w:rFonts w:hint="eastAsia" w:ascii="微软雅黑" w:hAnsi="微软雅黑" w:eastAsia="微软雅黑"/>
                <w:color w:val="auto"/>
                <w:sz w:val="24"/>
                <w:szCs w:val="24"/>
              </w:rPr>
              <w:t>日，全国放假</w:t>
            </w:r>
            <w:r>
              <w:rPr>
                <w:rFonts w:ascii="微软雅黑" w:hAnsi="微软雅黑" w:eastAsia="微软雅黑"/>
                <w:color w:val="auto"/>
                <w:sz w:val="24"/>
                <w:szCs w:val="24"/>
              </w:rPr>
              <w:t>1</w:t>
            </w:r>
            <w:r>
              <w:rPr>
                <w:rFonts w:hint="eastAsia" w:ascii="微软雅黑" w:hAnsi="微软雅黑" w:eastAsia="微软雅黑"/>
                <w:color w:val="auto"/>
                <w:sz w:val="24"/>
                <w:szCs w:val="24"/>
              </w:rPr>
              <w:t>天。</w:t>
            </w:r>
          </w:p>
        </w:tc>
        <w:tc>
          <w:tcPr>
            <w:tcW w:w="4936" w:type="dxa"/>
            <w:tcBorders>
              <w:top w:val="nil"/>
              <w:left w:val="nil"/>
              <w:bottom w:val="single" w:color="auto" w:sz="4" w:space="0"/>
              <w:right w:val="single" w:color="auto" w:sz="4" w:space="0"/>
            </w:tcBorders>
            <w:shd w:val="clear" w:color="auto" w:fill="auto"/>
          </w:tcPr>
          <w:p>
            <w:pPr>
              <w:widowControl/>
              <w:spacing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惯例是将最近的一个周末调休至</w:t>
            </w:r>
            <w:r>
              <w:rPr>
                <w:rFonts w:ascii="微软雅黑" w:hAnsi="微软雅黑" w:eastAsia="微软雅黑"/>
                <w:color w:val="auto"/>
                <w:sz w:val="24"/>
                <w:szCs w:val="24"/>
              </w:rPr>
              <w:t>5</w:t>
            </w:r>
            <w:r>
              <w:rPr>
                <w:rFonts w:hint="eastAsia" w:ascii="微软雅黑" w:hAnsi="微软雅黑" w:eastAsia="微软雅黑"/>
                <w:color w:val="auto"/>
                <w:sz w:val="24"/>
                <w:szCs w:val="24"/>
              </w:rPr>
              <w:t>月</w:t>
            </w:r>
            <w:r>
              <w:rPr>
                <w:rFonts w:ascii="微软雅黑" w:hAnsi="微软雅黑" w:eastAsia="微软雅黑"/>
                <w:color w:val="auto"/>
                <w:sz w:val="24"/>
                <w:szCs w:val="24"/>
              </w:rPr>
              <w:t>1</w:t>
            </w:r>
            <w:r>
              <w:rPr>
                <w:rFonts w:hint="eastAsia" w:ascii="微软雅黑" w:hAnsi="微软雅黑" w:eastAsia="微软雅黑"/>
                <w:color w:val="auto"/>
                <w:sz w:val="24"/>
                <w:szCs w:val="24"/>
              </w:rPr>
              <w:t>日前后，总共连续休假</w:t>
            </w:r>
            <w:r>
              <w:rPr>
                <w:rFonts w:ascii="微软雅黑" w:hAnsi="微软雅黑" w:eastAsia="微软雅黑"/>
                <w:color w:val="auto"/>
                <w:sz w:val="24"/>
                <w:szCs w:val="24"/>
              </w:rPr>
              <w:t>3</w:t>
            </w:r>
            <w:r>
              <w:rPr>
                <w:rFonts w:hint="eastAsia" w:ascii="微软雅黑" w:hAnsi="微软雅黑" w:eastAsia="微软雅黑"/>
                <w:color w:val="auto"/>
                <w:sz w:val="24"/>
                <w:szCs w:val="24"/>
              </w:rPr>
              <w:t>天。</w:t>
            </w:r>
          </w:p>
        </w:tc>
      </w:tr>
      <w:tr>
        <w:tblPrEx>
          <w:tblLayout w:type="fixed"/>
          <w:tblCellMar>
            <w:top w:w="0" w:type="dxa"/>
            <w:left w:w="108" w:type="dxa"/>
            <w:bottom w:w="0" w:type="dxa"/>
            <w:right w:w="108" w:type="dxa"/>
          </w:tblCellMar>
        </w:tblPrEx>
        <w:trPr>
          <w:trHeight w:val="1085" w:hRule="atLeast"/>
          <w:jc w:val="center"/>
        </w:trPr>
        <w:tc>
          <w:tcPr>
            <w:tcW w:w="1214" w:type="dxa"/>
            <w:tcBorders>
              <w:top w:val="nil"/>
              <w:left w:val="single" w:color="auto" w:sz="4" w:space="0"/>
              <w:bottom w:val="single" w:color="auto" w:sz="4" w:space="0"/>
              <w:right w:val="single" w:color="auto" w:sz="4" w:space="0"/>
            </w:tcBorders>
            <w:shd w:val="clear" w:color="auto" w:fill="auto"/>
          </w:tcPr>
          <w:p>
            <w:pPr>
              <w:widowControl/>
              <w:spacing w:line="400" w:lineRule="exact"/>
              <w:jc w:val="center"/>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端午节</w:t>
            </w:r>
          </w:p>
        </w:tc>
        <w:tc>
          <w:tcPr>
            <w:tcW w:w="3081" w:type="dxa"/>
            <w:tcBorders>
              <w:top w:val="nil"/>
              <w:left w:val="nil"/>
              <w:bottom w:val="single" w:color="auto" w:sz="4" w:space="0"/>
              <w:right w:val="single" w:color="auto" w:sz="4" w:space="0"/>
            </w:tcBorders>
            <w:shd w:val="clear" w:color="auto" w:fill="auto"/>
          </w:tcPr>
          <w:p>
            <w:pPr>
              <w:widowControl/>
              <w:spacing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每年农历五月初五，一般在公历</w:t>
            </w:r>
            <w:r>
              <w:rPr>
                <w:rFonts w:ascii="微软雅黑" w:hAnsi="微软雅黑" w:eastAsia="微软雅黑"/>
                <w:color w:val="auto"/>
                <w:sz w:val="24"/>
                <w:szCs w:val="24"/>
              </w:rPr>
              <w:t>6</w:t>
            </w:r>
            <w:r>
              <w:rPr>
                <w:rFonts w:hint="eastAsia" w:ascii="微软雅黑" w:hAnsi="微软雅黑" w:eastAsia="微软雅黑"/>
                <w:color w:val="auto"/>
                <w:sz w:val="24"/>
                <w:szCs w:val="24"/>
              </w:rPr>
              <w:t>月份，全国放假</w:t>
            </w:r>
            <w:r>
              <w:rPr>
                <w:rFonts w:ascii="微软雅黑" w:hAnsi="微软雅黑" w:eastAsia="微软雅黑"/>
                <w:color w:val="auto"/>
                <w:sz w:val="24"/>
                <w:szCs w:val="24"/>
              </w:rPr>
              <w:t>1</w:t>
            </w:r>
            <w:r>
              <w:rPr>
                <w:rFonts w:hint="eastAsia" w:ascii="微软雅黑" w:hAnsi="微软雅黑" w:eastAsia="微软雅黑"/>
                <w:color w:val="auto"/>
                <w:sz w:val="24"/>
                <w:szCs w:val="24"/>
              </w:rPr>
              <w:t>天。</w:t>
            </w:r>
          </w:p>
        </w:tc>
        <w:tc>
          <w:tcPr>
            <w:tcW w:w="4936" w:type="dxa"/>
            <w:tcBorders>
              <w:top w:val="nil"/>
              <w:left w:val="nil"/>
              <w:bottom w:val="single" w:color="auto" w:sz="4" w:space="0"/>
              <w:right w:val="single" w:color="auto" w:sz="4" w:space="0"/>
            </w:tcBorders>
            <w:shd w:val="clear" w:color="auto" w:fill="auto"/>
          </w:tcPr>
          <w:p>
            <w:pPr>
              <w:widowControl/>
              <w:spacing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惯例是将最近的一个周末调休至端午节前后，总共连续休假</w:t>
            </w:r>
            <w:r>
              <w:rPr>
                <w:rFonts w:ascii="微软雅黑" w:hAnsi="微软雅黑" w:eastAsia="微软雅黑"/>
                <w:color w:val="auto"/>
                <w:sz w:val="24"/>
                <w:szCs w:val="24"/>
              </w:rPr>
              <w:t>3</w:t>
            </w:r>
            <w:r>
              <w:rPr>
                <w:rFonts w:hint="eastAsia" w:ascii="微软雅黑" w:hAnsi="微软雅黑" w:eastAsia="微软雅黑"/>
                <w:color w:val="auto"/>
                <w:sz w:val="24"/>
                <w:szCs w:val="24"/>
              </w:rPr>
              <w:t>天。</w:t>
            </w:r>
          </w:p>
        </w:tc>
      </w:tr>
      <w:tr>
        <w:tblPrEx>
          <w:tblLayout w:type="fixed"/>
          <w:tblCellMar>
            <w:top w:w="0" w:type="dxa"/>
            <w:left w:w="108" w:type="dxa"/>
            <w:bottom w:w="0" w:type="dxa"/>
            <w:right w:w="108" w:type="dxa"/>
          </w:tblCellMar>
        </w:tblPrEx>
        <w:trPr>
          <w:trHeight w:val="1159" w:hRule="atLeast"/>
          <w:jc w:val="center"/>
        </w:trPr>
        <w:tc>
          <w:tcPr>
            <w:tcW w:w="1214" w:type="dxa"/>
            <w:tcBorders>
              <w:top w:val="nil"/>
              <w:left w:val="single" w:color="auto" w:sz="4" w:space="0"/>
              <w:bottom w:val="single" w:color="auto" w:sz="4" w:space="0"/>
              <w:right w:val="single" w:color="auto" w:sz="4" w:space="0"/>
            </w:tcBorders>
            <w:shd w:val="clear" w:color="auto" w:fill="auto"/>
          </w:tcPr>
          <w:p>
            <w:pPr>
              <w:widowControl/>
              <w:spacing w:line="400" w:lineRule="exact"/>
              <w:jc w:val="center"/>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中秋节</w:t>
            </w:r>
          </w:p>
        </w:tc>
        <w:tc>
          <w:tcPr>
            <w:tcW w:w="3081" w:type="dxa"/>
            <w:tcBorders>
              <w:top w:val="nil"/>
              <w:left w:val="nil"/>
              <w:bottom w:val="single" w:color="auto" w:sz="4" w:space="0"/>
              <w:right w:val="single" w:color="auto" w:sz="4" w:space="0"/>
            </w:tcBorders>
            <w:shd w:val="clear" w:color="auto" w:fill="auto"/>
          </w:tcPr>
          <w:p>
            <w:pPr>
              <w:widowControl/>
              <w:spacing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每年农历八月十五，一般在公历</w:t>
            </w:r>
            <w:r>
              <w:rPr>
                <w:rFonts w:ascii="微软雅黑" w:hAnsi="微软雅黑" w:eastAsia="微软雅黑"/>
                <w:color w:val="auto"/>
                <w:sz w:val="24"/>
                <w:szCs w:val="24"/>
              </w:rPr>
              <w:t>9</w:t>
            </w:r>
            <w:r>
              <w:rPr>
                <w:rFonts w:hint="eastAsia" w:ascii="微软雅黑" w:hAnsi="微软雅黑" w:eastAsia="微软雅黑"/>
                <w:color w:val="auto"/>
                <w:sz w:val="24"/>
                <w:szCs w:val="24"/>
              </w:rPr>
              <w:t>月份，全国放假</w:t>
            </w:r>
            <w:r>
              <w:rPr>
                <w:rFonts w:ascii="微软雅黑" w:hAnsi="微软雅黑" w:eastAsia="微软雅黑"/>
                <w:color w:val="auto"/>
                <w:sz w:val="24"/>
                <w:szCs w:val="24"/>
              </w:rPr>
              <w:t>1</w:t>
            </w:r>
            <w:r>
              <w:rPr>
                <w:rFonts w:hint="eastAsia" w:ascii="微软雅黑" w:hAnsi="微软雅黑" w:eastAsia="微软雅黑"/>
                <w:color w:val="auto"/>
                <w:sz w:val="24"/>
                <w:szCs w:val="24"/>
              </w:rPr>
              <w:t>天。</w:t>
            </w:r>
          </w:p>
        </w:tc>
        <w:tc>
          <w:tcPr>
            <w:tcW w:w="4936" w:type="dxa"/>
            <w:tcBorders>
              <w:top w:val="nil"/>
              <w:left w:val="nil"/>
              <w:bottom w:val="single" w:color="auto" w:sz="4" w:space="0"/>
              <w:right w:val="single" w:color="auto" w:sz="4" w:space="0"/>
            </w:tcBorders>
            <w:shd w:val="clear" w:color="auto" w:fill="auto"/>
          </w:tcPr>
          <w:p>
            <w:pPr>
              <w:widowControl/>
              <w:spacing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中秋节假期为每年农历八月十五当日。惯例是将最近的一个周末调休到中秋节前后，总共连续休假</w:t>
            </w:r>
            <w:r>
              <w:rPr>
                <w:rFonts w:ascii="微软雅黑" w:hAnsi="微软雅黑" w:eastAsia="微软雅黑"/>
                <w:color w:val="auto"/>
                <w:sz w:val="24"/>
                <w:szCs w:val="24"/>
              </w:rPr>
              <w:t>3</w:t>
            </w:r>
            <w:r>
              <w:rPr>
                <w:rFonts w:hint="eastAsia" w:ascii="微软雅黑" w:hAnsi="微软雅黑" w:eastAsia="微软雅黑"/>
                <w:color w:val="auto"/>
                <w:sz w:val="24"/>
                <w:szCs w:val="24"/>
              </w:rPr>
              <w:t>天。</w:t>
            </w:r>
          </w:p>
        </w:tc>
      </w:tr>
      <w:tr>
        <w:tblPrEx>
          <w:tblLayout w:type="fixed"/>
          <w:tblCellMar>
            <w:top w:w="0" w:type="dxa"/>
            <w:left w:w="108" w:type="dxa"/>
            <w:bottom w:w="0" w:type="dxa"/>
            <w:right w:w="108" w:type="dxa"/>
          </w:tblCellMar>
        </w:tblPrEx>
        <w:trPr>
          <w:trHeight w:val="653" w:hRule="atLeast"/>
          <w:jc w:val="center"/>
        </w:trPr>
        <w:tc>
          <w:tcPr>
            <w:tcW w:w="1214" w:type="dxa"/>
            <w:tcBorders>
              <w:top w:val="single" w:color="auto" w:sz="4" w:space="0"/>
              <w:left w:val="single" w:color="auto" w:sz="4" w:space="0"/>
              <w:bottom w:val="single" w:color="auto" w:sz="4" w:space="0"/>
              <w:right w:val="single" w:color="auto" w:sz="4" w:space="0"/>
            </w:tcBorders>
            <w:shd w:val="clear" w:color="auto" w:fill="auto"/>
          </w:tcPr>
          <w:p>
            <w:pPr>
              <w:widowControl/>
              <w:spacing w:line="400" w:lineRule="exact"/>
              <w:jc w:val="center"/>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国庆节</w:t>
            </w:r>
          </w:p>
        </w:tc>
        <w:tc>
          <w:tcPr>
            <w:tcW w:w="3081" w:type="dxa"/>
            <w:tcBorders>
              <w:top w:val="single" w:color="auto" w:sz="4" w:space="0"/>
              <w:left w:val="nil"/>
              <w:bottom w:val="single" w:color="auto" w:sz="4" w:space="0"/>
              <w:right w:val="single" w:color="auto" w:sz="4" w:space="0"/>
            </w:tcBorders>
            <w:shd w:val="clear" w:color="auto" w:fill="auto"/>
          </w:tcPr>
          <w:p>
            <w:pPr>
              <w:widowControl/>
              <w:spacing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每年</w:t>
            </w:r>
            <w:r>
              <w:rPr>
                <w:rFonts w:ascii="微软雅黑" w:hAnsi="微软雅黑" w:eastAsia="微软雅黑"/>
                <w:color w:val="auto"/>
                <w:sz w:val="24"/>
                <w:szCs w:val="24"/>
              </w:rPr>
              <w:t>10</w:t>
            </w:r>
            <w:r>
              <w:rPr>
                <w:rFonts w:hint="eastAsia" w:ascii="微软雅黑" w:hAnsi="微软雅黑" w:eastAsia="微软雅黑"/>
                <w:color w:val="auto"/>
                <w:sz w:val="24"/>
                <w:szCs w:val="24"/>
              </w:rPr>
              <w:t>月</w:t>
            </w:r>
            <w:r>
              <w:rPr>
                <w:rFonts w:ascii="微软雅黑" w:hAnsi="微软雅黑" w:eastAsia="微软雅黑"/>
                <w:color w:val="auto"/>
                <w:sz w:val="24"/>
                <w:szCs w:val="24"/>
              </w:rPr>
              <w:t>1</w:t>
            </w:r>
            <w:r>
              <w:rPr>
                <w:rFonts w:hint="eastAsia" w:ascii="微软雅黑" w:hAnsi="微软雅黑" w:eastAsia="微软雅黑"/>
                <w:color w:val="auto"/>
                <w:sz w:val="24"/>
                <w:szCs w:val="24"/>
              </w:rPr>
              <w:t>日至</w:t>
            </w:r>
            <w:r>
              <w:rPr>
                <w:rFonts w:ascii="微软雅黑" w:hAnsi="微软雅黑" w:eastAsia="微软雅黑"/>
                <w:color w:val="auto"/>
                <w:sz w:val="24"/>
                <w:szCs w:val="24"/>
              </w:rPr>
              <w:t>3</w:t>
            </w:r>
            <w:r>
              <w:rPr>
                <w:rFonts w:hint="eastAsia" w:ascii="微软雅黑" w:hAnsi="微软雅黑" w:eastAsia="微软雅黑"/>
                <w:color w:val="auto"/>
                <w:sz w:val="24"/>
                <w:szCs w:val="24"/>
              </w:rPr>
              <w:t>日，全国放假</w:t>
            </w:r>
            <w:r>
              <w:rPr>
                <w:rFonts w:ascii="微软雅黑" w:hAnsi="微软雅黑" w:eastAsia="微软雅黑"/>
                <w:color w:val="auto"/>
                <w:sz w:val="24"/>
                <w:szCs w:val="24"/>
              </w:rPr>
              <w:t>3</w:t>
            </w:r>
            <w:r>
              <w:rPr>
                <w:rFonts w:hint="eastAsia" w:ascii="微软雅黑" w:hAnsi="微软雅黑" w:eastAsia="微软雅黑"/>
                <w:color w:val="auto"/>
                <w:sz w:val="24"/>
                <w:szCs w:val="24"/>
              </w:rPr>
              <w:t>天。</w:t>
            </w:r>
          </w:p>
        </w:tc>
        <w:tc>
          <w:tcPr>
            <w:tcW w:w="4936" w:type="dxa"/>
            <w:tcBorders>
              <w:top w:val="single" w:color="auto" w:sz="4" w:space="0"/>
              <w:left w:val="nil"/>
              <w:bottom w:val="single" w:color="auto" w:sz="4" w:space="0"/>
              <w:right w:val="single" w:color="auto" w:sz="4" w:space="0"/>
            </w:tcBorders>
            <w:shd w:val="clear" w:color="auto" w:fill="auto"/>
          </w:tcPr>
          <w:p>
            <w:pPr>
              <w:widowControl/>
              <w:spacing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惯例是将最近的两个周末调休至</w:t>
            </w:r>
            <w:r>
              <w:rPr>
                <w:rFonts w:ascii="微软雅黑" w:hAnsi="微软雅黑" w:eastAsia="微软雅黑"/>
                <w:color w:val="auto"/>
                <w:sz w:val="24"/>
                <w:szCs w:val="24"/>
              </w:rPr>
              <w:t>10</w:t>
            </w:r>
            <w:r>
              <w:rPr>
                <w:rFonts w:hint="eastAsia" w:ascii="微软雅黑" w:hAnsi="微软雅黑" w:eastAsia="微软雅黑"/>
                <w:color w:val="auto"/>
                <w:sz w:val="24"/>
                <w:szCs w:val="24"/>
              </w:rPr>
              <w:t>月</w:t>
            </w:r>
            <w:r>
              <w:rPr>
                <w:rFonts w:ascii="微软雅黑" w:hAnsi="微软雅黑" w:eastAsia="微软雅黑"/>
                <w:color w:val="auto"/>
                <w:sz w:val="24"/>
                <w:szCs w:val="24"/>
              </w:rPr>
              <w:t>1</w:t>
            </w:r>
            <w:r>
              <w:rPr>
                <w:rFonts w:hint="eastAsia" w:ascii="微软雅黑" w:hAnsi="微软雅黑" w:eastAsia="微软雅黑"/>
                <w:color w:val="auto"/>
                <w:sz w:val="24"/>
                <w:szCs w:val="24"/>
              </w:rPr>
              <w:t>日至</w:t>
            </w:r>
            <w:r>
              <w:rPr>
                <w:rFonts w:ascii="微软雅黑" w:hAnsi="微软雅黑" w:eastAsia="微软雅黑"/>
                <w:color w:val="auto"/>
                <w:sz w:val="24"/>
                <w:szCs w:val="24"/>
              </w:rPr>
              <w:t>3</w:t>
            </w:r>
            <w:r>
              <w:rPr>
                <w:rFonts w:hint="eastAsia" w:ascii="微软雅黑" w:hAnsi="微软雅黑" w:eastAsia="微软雅黑"/>
                <w:color w:val="auto"/>
                <w:sz w:val="24"/>
                <w:szCs w:val="24"/>
              </w:rPr>
              <w:t>日前后，总共连续休假</w:t>
            </w:r>
            <w:r>
              <w:rPr>
                <w:rFonts w:ascii="微软雅黑" w:hAnsi="微软雅黑" w:eastAsia="微软雅黑"/>
                <w:color w:val="auto"/>
                <w:sz w:val="24"/>
                <w:szCs w:val="24"/>
              </w:rPr>
              <w:t>7</w:t>
            </w:r>
            <w:r>
              <w:rPr>
                <w:rFonts w:hint="eastAsia" w:ascii="微软雅黑" w:hAnsi="微软雅黑" w:eastAsia="微软雅黑"/>
                <w:color w:val="auto"/>
                <w:sz w:val="24"/>
                <w:szCs w:val="24"/>
              </w:rPr>
              <w:t>天。</w:t>
            </w:r>
          </w:p>
        </w:tc>
      </w:tr>
    </w:tbl>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国务院每年</w:t>
      </w:r>
      <w:r>
        <w:rPr>
          <w:rFonts w:ascii="微软雅黑" w:hAnsi="微软雅黑" w:eastAsia="微软雅黑"/>
          <w:color w:val="auto"/>
          <w:sz w:val="24"/>
          <w:szCs w:val="24"/>
        </w:rPr>
        <w:t>12</w:t>
      </w:r>
      <w:r>
        <w:rPr>
          <w:rFonts w:hint="eastAsia" w:ascii="微软雅黑" w:hAnsi="微软雅黑" w:eastAsia="微软雅黑"/>
          <w:color w:val="auto"/>
          <w:sz w:val="24"/>
          <w:szCs w:val="24"/>
        </w:rPr>
        <w:t>月会在其网站上发布下一年的节假日放假安排。欲了解详情，请参考中国政府网站：</w:t>
      </w:r>
      <w:r>
        <w:rPr>
          <w:color w:val="auto"/>
        </w:rPr>
        <w:fldChar w:fldCharType="begin"/>
      </w:r>
      <w:r>
        <w:rPr>
          <w:color w:val="auto"/>
        </w:rPr>
        <w:instrText xml:space="preserve"> HYPERLINK "http://www.gov.cn/" </w:instrText>
      </w:r>
      <w:r>
        <w:rPr>
          <w:color w:val="auto"/>
        </w:rPr>
        <w:fldChar w:fldCharType="separate"/>
      </w:r>
      <w:r>
        <w:rPr>
          <w:rFonts w:ascii="微软雅黑" w:hAnsi="微软雅黑" w:eastAsia="微软雅黑"/>
          <w:color w:val="auto"/>
          <w:sz w:val="24"/>
          <w:szCs w:val="24"/>
        </w:rPr>
        <w:t>http://www.gov.cn</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w:t>
      </w:r>
    </w:p>
    <w:p>
      <w:pPr>
        <w:widowControl/>
        <w:jc w:val="left"/>
        <w:rPr>
          <w:rFonts w:ascii="微软雅黑" w:hAnsi="微软雅黑" w:eastAsia="微软雅黑"/>
          <w:color w:val="auto"/>
          <w:sz w:val="24"/>
          <w:szCs w:val="24"/>
        </w:rPr>
      </w:pPr>
      <w:r>
        <w:rPr>
          <w:rFonts w:ascii="微软雅黑" w:hAnsi="微软雅黑" w:eastAsia="微软雅黑"/>
          <w:color w:val="auto"/>
          <w:sz w:val="24"/>
          <w:szCs w:val="24"/>
        </w:rPr>
        <w:br w:type="page"/>
      </w:r>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电讯服务</w:t>
      </w:r>
    </w:p>
    <w:p>
      <w:pPr>
        <w:spacing w:before="312" w:beforeLines="100" w:line="400" w:lineRule="exact"/>
        <w:rPr>
          <w:rFonts w:ascii="微软雅黑" w:hAnsi="微软雅黑" w:eastAsia="微软雅黑"/>
          <w:b/>
          <w:color w:val="auto"/>
          <w:sz w:val="24"/>
          <w:szCs w:val="24"/>
        </w:rPr>
      </w:pPr>
      <w:r>
        <w:rPr>
          <w:rFonts w:hint="eastAsia" w:ascii="微软雅黑" w:hAnsi="微软雅黑" w:eastAsia="微软雅黑"/>
          <w:color w:val="auto"/>
          <w:sz w:val="24"/>
          <w:szCs w:val="24"/>
        </w:rPr>
        <w:t>中国内地的移动通讯运营商有：中国移动、中国联通、中国电信。中国内地的手机卡采用实名制方式购买，</w:t>
      </w: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可持其有效身份证件到各移动通讯运营商的营业厅购买。</w:t>
      </w: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购买手机时</w:t>
      </w:r>
      <w:r>
        <w:rPr>
          <w:rFonts w:ascii="微软雅黑" w:hAnsi="微软雅黑" w:eastAsia="微软雅黑"/>
          <w:color w:val="auto"/>
          <w:sz w:val="24"/>
          <w:szCs w:val="24"/>
        </w:rPr>
        <w:t>还需注意不同手机型号</w:t>
      </w:r>
      <w:r>
        <w:rPr>
          <w:rFonts w:hint="eastAsia" w:ascii="微软雅黑" w:hAnsi="微软雅黑" w:eastAsia="微软雅黑"/>
          <w:color w:val="auto"/>
          <w:sz w:val="24"/>
          <w:szCs w:val="24"/>
        </w:rPr>
        <w:t>适用于不同</w:t>
      </w:r>
      <w:r>
        <w:rPr>
          <w:rFonts w:ascii="微软雅黑" w:hAnsi="微软雅黑" w:eastAsia="微软雅黑"/>
          <w:color w:val="auto"/>
          <w:sz w:val="24"/>
          <w:szCs w:val="24"/>
        </w:rPr>
        <w:t>移动通讯运营商的手机卡，比如三网通的手机即可支持任意移动通讯运营商的手机卡。</w:t>
      </w:r>
      <w:r>
        <w:rPr>
          <w:rFonts w:ascii="微软雅黑" w:hAnsi="微软雅黑" w:eastAsia="微软雅黑"/>
          <w:b/>
          <w:color w:val="auto"/>
          <w:sz w:val="24"/>
          <w:szCs w:val="24"/>
        </w:rPr>
        <w:br w:type="page"/>
      </w:r>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旅游</w:t>
      </w:r>
    </w:p>
    <w:p>
      <w:pPr>
        <w:widowControl/>
        <w:spacing w:before="312" w:beforeLines="100"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蓉城」成都，自古便有「天府之国」的美誉，休闲的生活节奏是成都的另一张名片。在成都游客不但可以游玩武侯祠、杜甫草堂、金沙遗址、青城山等历史文化景区，邂逅古色古香的城市；也可以在宽窄巷子、锦里、春熙路等感受闲适安逸的成都慢生活。此外，成都也是前往九寨沟、泸沽湖、稻城亚丁等地的重要交通枢纽之一。若想了解成都旅游的详细讯息，请参考成都旅游政务网：</w:t>
      </w:r>
      <w:r>
        <w:rPr>
          <w:color w:val="auto"/>
        </w:rPr>
        <w:fldChar w:fldCharType="begin"/>
      </w:r>
      <w:r>
        <w:rPr>
          <w:color w:val="auto"/>
        </w:rPr>
        <w:instrText xml:space="preserve"> HYPERLINK "http://www.cdta.gov.cn" </w:instrText>
      </w:r>
      <w:r>
        <w:rPr>
          <w:color w:val="auto"/>
        </w:rPr>
        <w:fldChar w:fldCharType="separate"/>
      </w:r>
      <w:r>
        <w:rPr>
          <w:rFonts w:ascii="微软雅黑" w:hAnsi="微软雅黑" w:eastAsia="微软雅黑"/>
          <w:color w:val="auto"/>
          <w:sz w:val="24"/>
          <w:szCs w:val="24"/>
        </w:rPr>
        <w:t>http://www.cdta.gov.cn</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w:t>
      </w:r>
    </w:p>
    <w:p>
      <w:pPr>
        <w:pStyle w:val="28"/>
        <w:numPr>
          <w:ilvl w:val="0"/>
          <w:numId w:val="3"/>
        </w:numPr>
        <w:spacing w:before="156" w:beforeLines="50" w:line="400" w:lineRule="exact"/>
        <w:ind w:left="480" w:hanging="480" w:hangingChars="200"/>
        <w:rPr>
          <w:rFonts w:ascii="微软雅黑" w:hAnsi="微软雅黑" w:eastAsia="微软雅黑"/>
          <w:b/>
          <w:color w:val="auto"/>
          <w:sz w:val="24"/>
          <w:szCs w:val="24"/>
          <w:u w:val="single"/>
        </w:rPr>
      </w:pPr>
      <w:r>
        <w:rPr>
          <w:rFonts w:hint="eastAsia" w:ascii="微软雅黑" w:hAnsi="微软雅黑" w:eastAsia="微软雅黑"/>
          <w:b/>
          <w:color w:val="auto"/>
          <w:sz w:val="24"/>
          <w:szCs w:val="24"/>
          <w:u w:val="single"/>
        </w:rPr>
        <w:t>宽窄巷子</w:t>
      </w:r>
      <w:r>
        <w:rPr>
          <w:rFonts w:hint="eastAsia" w:ascii="微软雅黑" w:hAnsi="微软雅黑" w:eastAsia="微软雅黑"/>
          <w:color w:val="auto"/>
          <w:sz w:val="24"/>
          <w:szCs w:val="24"/>
        </w:rPr>
        <w:t>：位于成都市青羊区同仁路以东及长顺街以西，为宽巷子和窄巷子的统称。是市内较大规模的清朝古街道，是成都城市往昔的缩影，代表了成都的历史和人文状况。宽巷子的龙门客栈、梧桐树、老茶馆等都代表了最成都、最市井的民间文化；窄巷子展现的是代表成都传统的雅文化和院落文化，是成都慢生活的一种体现。</w:t>
      </w:r>
    </w:p>
    <w:p>
      <w:pPr>
        <w:pStyle w:val="28"/>
        <w:numPr>
          <w:ilvl w:val="0"/>
          <w:numId w:val="3"/>
        </w:numPr>
        <w:spacing w:before="156" w:beforeLines="50" w:line="400" w:lineRule="exact"/>
        <w:ind w:left="480" w:hanging="480" w:hangingChars="200"/>
        <w:rPr>
          <w:rFonts w:ascii="微软雅黑" w:hAnsi="微软雅黑" w:eastAsia="微软雅黑"/>
          <w:b/>
          <w:color w:val="auto"/>
          <w:sz w:val="24"/>
          <w:szCs w:val="24"/>
          <w:u w:val="single"/>
        </w:rPr>
      </w:pPr>
      <w:r>
        <w:rPr>
          <w:rFonts w:hint="eastAsia" w:ascii="微软雅黑" w:hAnsi="微软雅黑" w:eastAsia="微软雅黑"/>
          <w:b/>
          <w:color w:val="auto"/>
          <w:sz w:val="24"/>
          <w:szCs w:val="24"/>
          <w:u w:val="single"/>
        </w:rPr>
        <w:t>武侯祠及锦里</w:t>
      </w:r>
      <w:r>
        <w:rPr>
          <w:rFonts w:hint="eastAsia" w:ascii="微软雅黑" w:hAnsi="微软雅黑" w:eastAsia="微软雅黑"/>
          <w:color w:val="auto"/>
          <w:sz w:val="24"/>
          <w:szCs w:val="24"/>
        </w:rPr>
        <w:t>：武侯祠由刘备、诸葛亮蜀汉君臣合祀祠宇及惠陵组成，是中国唯一的君臣合祀祠庙，是中国最具影响力的三国遗迹博物馆。锦里依托于武侯祠，是成都著名的步行商业街，为清末民初建筑风格的仿古建筑，以三国文化和四川传统民俗文化为主要内容，锦里里的府邸客栈和酒吧娱乐把成都的古朴和现代巧妙的结合在一起。</w:t>
      </w:r>
    </w:p>
    <w:p>
      <w:pPr>
        <w:pStyle w:val="28"/>
        <w:numPr>
          <w:ilvl w:val="0"/>
          <w:numId w:val="3"/>
        </w:numPr>
        <w:spacing w:before="156" w:beforeLines="50" w:line="400" w:lineRule="exact"/>
        <w:ind w:left="480" w:hanging="480" w:hangingChars="200"/>
        <w:rPr>
          <w:rFonts w:ascii="微软雅黑" w:hAnsi="微软雅黑" w:eastAsia="微软雅黑"/>
          <w:b/>
          <w:color w:val="auto"/>
          <w:sz w:val="24"/>
          <w:szCs w:val="24"/>
          <w:u w:val="single"/>
        </w:rPr>
      </w:pPr>
      <w:r>
        <w:rPr>
          <w:rFonts w:hint="eastAsia" w:ascii="微软雅黑" w:hAnsi="微软雅黑" w:eastAsia="微软雅黑"/>
          <w:b/>
          <w:color w:val="auto"/>
          <w:sz w:val="24"/>
          <w:szCs w:val="24"/>
          <w:u w:val="single"/>
        </w:rPr>
        <w:t>杜甫草堂</w:t>
      </w:r>
      <w:r>
        <w:rPr>
          <w:rFonts w:hint="eastAsia" w:ascii="微软雅黑" w:hAnsi="微软雅黑" w:eastAsia="微软雅黑"/>
          <w:color w:val="auto"/>
          <w:sz w:val="24"/>
          <w:szCs w:val="24"/>
        </w:rPr>
        <w:t>：杜甫草堂是为纪念中国唐代诗人杜甫而修建的博物馆。成都杜甫草堂博物馆内珍藏有各类资料</w:t>
      </w:r>
      <w:r>
        <w:rPr>
          <w:rFonts w:ascii="微软雅黑" w:hAnsi="微软雅黑" w:eastAsia="微软雅黑"/>
          <w:color w:val="auto"/>
          <w:sz w:val="24"/>
          <w:szCs w:val="24"/>
        </w:rPr>
        <w:t>3</w:t>
      </w:r>
      <w:r>
        <w:rPr>
          <w:rFonts w:hint="eastAsia" w:ascii="微软雅黑" w:hAnsi="微软雅黑" w:eastAsia="微软雅黑"/>
          <w:color w:val="auto"/>
          <w:sz w:val="24"/>
          <w:szCs w:val="24"/>
        </w:rPr>
        <w:t>万余册，文物千余件，是有关杜甫平生创作馆藏最丰富、保存最完好的地方。</w:t>
      </w:r>
    </w:p>
    <w:p>
      <w:pPr>
        <w:pStyle w:val="28"/>
        <w:numPr>
          <w:ilvl w:val="0"/>
          <w:numId w:val="3"/>
        </w:numPr>
        <w:spacing w:before="156" w:beforeLines="50"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b/>
          <w:color w:val="auto"/>
          <w:sz w:val="24"/>
          <w:szCs w:val="24"/>
          <w:u w:val="single"/>
        </w:rPr>
        <w:t>金沙遗址博物馆</w:t>
      </w:r>
      <w:r>
        <w:rPr>
          <w:rFonts w:hint="eastAsia" w:ascii="微软雅黑" w:hAnsi="微软雅黑" w:eastAsia="微软雅黑"/>
          <w:color w:val="auto"/>
          <w:sz w:val="24"/>
          <w:szCs w:val="24"/>
        </w:rPr>
        <w:t>：金沙遗址博物馆是在</w:t>
      </w:r>
      <w:r>
        <w:rPr>
          <w:rFonts w:ascii="微软雅黑" w:hAnsi="微软雅黑" w:eastAsia="微软雅黑"/>
          <w:color w:val="auto"/>
          <w:sz w:val="24"/>
          <w:szCs w:val="24"/>
        </w:rPr>
        <w:t>2007</w:t>
      </w:r>
      <w:r>
        <w:rPr>
          <w:rFonts w:hint="eastAsia" w:ascii="微软雅黑" w:hAnsi="微软雅黑" w:eastAsia="微软雅黑"/>
          <w:color w:val="auto"/>
          <w:sz w:val="24"/>
          <w:szCs w:val="24"/>
        </w:rPr>
        <w:t>年于金沙遗址原址建成开馆，是一座为保护、研究、展示金沙文化和古蜀文明而兴建的遗址类博物馆，由遗迹馆、陈列馆、游客中心、文物保护与修复中心、金沙剧场、园林区等部分组成。</w:t>
      </w:r>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成都艺术掠影</w:t>
      </w:r>
    </w:p>
    <w:p>
      <w:pPr>
        <w:pStyle w:val="28"/>
        <w:numPr>
          <w:ilvl w:val="0"/>
          <w:numId w:val="3"/>
        </w:numPr>
        <w:spacing w:before="312" w:beforeLines="100"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b/>
          <w:color w:val="auto"/>
          <w:sz w:val="24"/>
          <w:szCs w:val="24"/>
          <w:u w:val="single"/>
        </w:rPr>
        <w:t>蜀绣</w:t>
      </w:r>
      <w:r>
        <w:rPr>
          <w:rFonts w:hint="eastAsia" w:ascii="微软雅黑" w:hAnsi="微软雅黑" w:eastAsia="微软雅黑"/>
          <w:color w:val="auto"/>
          <w:sz w:val="24"/>
          <w:szCs w:val="24"/>
        </w:rPr>
        <w:t>：又称「川绣」，是以四川成都为中心的刺绣工艺的总称，蜀绣与苏绣、湘绣、粤绣齐名，为中国四大名绣之一。蜀绣以软缎和彩丝为主要原料，包括</w:t>
      </w:r>
      <w:r>
        <w:rPr>
          <w:rFonts w:ascii="微软雅黑" w:hAnsi="微软雅黑" w:eastAsia="微软雅黑"/>
          <w:color w:val="auto"/>
          <w:sz w:val="24"/>
          <w:szCs w:val="24"/>
        </w:rPr>
        <w:t>12</w:t>
      </w:r>
      <w:r>
        <w:rPr>
          <w:rFonts w:hint="eastAsia" w:ascii="微软雅黑" w:hAnsi="微软雅黑" w:eastAsia="微软雅黑"/>
          <w:color w:val="auto"/>
          <w:sz w:val="24"/>
          <w:szCs w:val="24"/>
        </w:rPr>
        <w:t>大类共</w:t>
      </w:r>
      <w:r>
        <w:rPr>
          <w:rFonts w:ascii="微软雅黑" w:hAnsi="微软雅黑" w:eastAsia="微软雅黑"/>
          <w:color w:val="auto"/>
          <w:sz w:val="24"/>
          <w:szCs w:val="24"/>
        </w:rPr>
        <w:t>122</w:t>
      </w:r>
      <w:r>
        <w:rPr>
          <w:rFonts w:hint="eastAsia" w:ascii="微软雅黑" w:hAnsi="微软雅黑" w:eastAsia="微软雅黑"/>
          <w:color w:val="auto"/>
          <w:sz w:val="24"/>
          <w:szCs w:val="24"/>
        </w:rPr>
        <w:t>种针法。蜀绣用针工整、丝路清晰、色彩鲜丽，常以自然界为主题，多绣制在被面、枕套、衣、鞋及画屏等日用品上。</w:t>
      </w:r>
    </w:p>
    <w:p>
      <w:pPr>
        <w:pStyle w:val="28"/>
        <w:numPr>
          <w:ilvl w:val="0"/>
          <w:numId w:val="3"/>
        </w:numPr>
        <w:spacing w:before="156" w:beforeLines="50"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b/>
          <w:color w:val="auto"/>
          <w:sz w:val="24"/>
          <w:szCs w:val="24"/>
          <w:u w:val="single"/>
        </w:rPr>
        <w:t>蜀锦</w:t>
      </w:r>
      <w:r>
        <w:rPr>
          <w:rFonts w:hint="eastAsia" w:ascii="微软雅黑" w:hAnsi="微软雅黑" w:eastAsia="微软雅黑"/>
          <w:color w:val="auto"/>
          <w:sz w:val="24"/>
          <w:szCs w:val="24"/>
        </w:rPr>
        <w:t>：又称「蜀江锦」，与南京的云锦、苏州的宋锦、广西的壮锦并称为中国四大名锦。蜀锦多用染色的熟丝线织成，以其色调鲜艳、对比强烈、充满民族特色和地方风格被列入国家级非物质文化遗产名录。</w:t>
      </w:r>
    </w:p>
    <w:p>
      <w:pPr>
        <w:pStyle w:val="28"/>
        <w:numPr>
          <w:ilvl w:val="0"/>
          <w:numId w:val="3"/>
        </w:numPr>
        <w:spacing w:before="156" w:beforeLines="50"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b/>
          <w:color w:val="auto"/>
          <w:sz w:val="24"/>
          <w:szCs w:val="24"/>
          <w:u w:val="single"/>
        </w:rPr>
        <w:t>川剧</w:t>
      </w:r>
      <w:r>
        <w:rPr>
          <w:rFonts w:hint="eastAsia" w:ascii="微软雅黑" w:hAnsi="微软雅黑" w:eastAsia="微软雅黑"/>
          <w:color w:val="auto"/>
          <w:sz w:val="24"/>
          <w:szCs w:val="24"/>
        </w:rPr>
        <w:t>：川剧语言生动活泼，幽默风趣，充满鲜明的地方色彩，浓郁的生活气息和广泛的群众基础；川剧剧目繁多，绝技丰富，如托举、开慧眼、变脸、喷火、藏刀等，令人叹为观止。</w:t>
      </w:r>
    </w:p>
    <w:p>
      <w:pPr>
        <w:pStyle w:val="28"/>
        <w:numPr>
          <w:ilvl w:val="0"/>
          <w:numId w:val="2"/>
        </w:numPr>
        <w:spacing w:before="624" w:beforeLines="200" w:after="312" w:afterLines="1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常用民生服务电话</w:t>
      </w:r>
    </w:p>
    <w:tbl>
      <w:tblPr>
        <w:tblStyle w:val="24"/>
        <w:tblW w:w="6973" w:type="dxa"/>
        <w:jc w:val="center"/>
        <w:tblInd w:w="0" w:type="dxa"/>
        <w:tblLayout w:type="fixed"/>
        <w:tblCellMar>
          <w:top w:w="0" w:type="dxa"/>
          <w:left w:w="108" w:type="dxa"/>
          <w:bottom w:w="0" w:type="dxa"/>
          <w:right w:w="108" w:type="dxa"/>
        </w:tblCellMar>
      </w:tblPr>
      <w:tblGrid>
        <w:gridCol w:w="4884"/>
        <w:gridCol w:w="2089"/>
      </w:tblGrid>
      <w:tr>
        <w:tblPrEx>
          <w:tblLayout w:type="fixed"/>
          <w:tblCellMar>
            <w:top w:w="0" w:type="dxa"/>
            <w:left w:w="108" w:type="dxa"/>
            <w:bottom w:w="0" w:type="dxa"/>
            <w:right w:w="108" w:type="dxa"/>
          </w:tblCellMar>
        </w:tblPrEx>
        <w:trPr>
          <w:trHeight w:val="567" w:hRule="atLeast"/>
          <w:jc w:val="center"/>
        </w:trPr>
        <w:tc>
          <w:tcPr>
            <w:tcW w:w="4884" w:type="dxa"/>
            <w:tcBorders>
              <w:top w:val="single" w:color="auto" w:sz="4" w:space="0"/>
              <w:left w:val="single" w:color="auto" w:sz="4" w:space="0"/>
              <w:bottom w:val="single" w:color="auto" w:sz="4" w:space="0"/>
              <w:right w:val="single" w:color="auto" w:sz="4" w:space="0"/>
            </w:tcBorders>
            <w:shd w:val="clear" w:color="auto" w:fill="A6C9E8"/>
            <w:vAlign w:val="center"/>
          </w:tcPr>
          <w:p>
            <w:pPr>
              <w:spacing w:line="400" w:lineRule="exact"/>
              <w:jc w:val="center"/>
              <w:rPr>
                <w:rFonts w:ascii="微软雅黑" w:hAnsi="微软雅黑" w:eastAsia="微软雅黑" w:cs="宋体"/>
                <w:b/>
                <w:color w:val="auto"/>
                <w:kern w:val="0"/>
                <w:sz w:val="24"/>
                <w:szCs w:val="24"/>
              </w:rPr>
            </w:pPr>
            <w:r>
              <w:rPr>
                <w:rFonts w:hint="eastAsia" w:ascii="微软雅黑" w:hAnsi="微软雅黑" w:eastAsia="微软雅黑" w:cs="宋体"/>
                <w:b/>
                <w:color w:val="auto"/>
                <w:kern w:val="0"/>
                <w:sz w:val="24"/>
                <w:szCs w:val="24"/>
              </w:rPr>
              <w:t>机构名称</w:t>
            </w:r>
          </w:p>
        </w:tc>
        <w:tc>
          <w:tcPr>
            <w:tcW w:w="2089" w:type="dxa"/>
            <w:tcBorders>
              <w:top w:val="single" w:color="auto" w:sz="4" w:space="0"/>
              <w:left w:val="nil"/>
              <w:bottom w:val="single" w:color="auto" w:sz="4" w:space="0"/>
              <w:right w:val="single" w:color="auto" w:sz="4" w:space="0"/>
            </w:tcBorders>
            <w:shd w:val="clear" w:color="auto" w:fill="A6C9E8"/>
            <w:vAlign w:val="center"/>
          </w:tcPr>
          <w:p>
            <w:pPr>
              <w:spacing w:line="400" w:lineRule="exact"/>
              <w:jc w:val="center"/>
              <w:rPr>
                <w:rFonts w:ascii="微软雅黑" w:hAnsi="微软雅黑" w:eastAsia="微软雅黑" w:cs="宋体"/>
                <w:b/>
                <w:color w:val="auto"/>
                <w:kern w:val="0"/>
                <w:sz w:val="24"/>
                <w:szCs w:val="24"/>
              </w:rPr>
            </w:pPr>
            <w:r>
              <w:rPr>
                <w:rFonts w:hint="eastAsia" w:ascii="微软雅黑" w:hAnsi="微软雅黑" w:eastAsia="微软雅黑" w:cs="宋体"/>
                <w:b/>
                <w:color w:val="auto"/>
                <w:kern w:val="0"/>
                <w:sz w:val="24"/>
                <w:szCs w:val="24"/>
              </w:rPr>
              <w:t>电话</w:t>
            </w:r>
          </w:p>
        </w:tc>
      </w:tr>
      <w:tr>
        <w:tblPrEx>
          <w:tblLayout w:type="fixed"/>
          <w:tblCellMar>
            <w:top w:w="0" w:type="dxa"/>
            <w:left w:w="108" w:type="dxa"/>
            <w:bottom w:w="0" w:type="dxa"/>
            <w:right w:w="108" w:type="dxa"/>
          </w:tblCellMar>
        </w:tblPrEx>
        <w:trPr>
          <w:trHeight w:val="311" w:hRule="atLeast"/>
          <w:jc w:val="center"/>
        </w:trPr>
        <w:tc>
          <w:tcPr>
            <w:tcW w:w="4884" w:type="dxa"/>
            <w:tcBorders>
              <w:top w:val="nil"/>
              <w:left w:val="single" w:color="auto" w:sz="4" w:space="0"/>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s="宋体"/>
                <w:color w:val="auto"/>
                <w:kern w:val="0"/>
                <w:sz w:val="24"/>
                <w:szCs w:val="24"/>
                <w:lang w:eastAsia="zh-TW"/>
              </w:rPr>
            </w:pPr>
            <w:r>
              <w:rPr>
                <w:rFonts w:hint="eastAsia" w:ascii="微软雅黑" w:hAnsi="微软雅黑" w:eastAsia="微软雅黑" w:cs="宋体"/>
                <w:color w:val="auto"/>
                <w:kern w:val="0"/>
                <w:sz w:val="24"/>
                <w:szCs w:val="24"/>
              </w:rPr>
              <w:t>报警电话</w:t>
            </w:r>
          </w:p>
        </w:tc>
        <w:tc>
          <w:tcPr>
            <w:tcW w:w="2089" w:type="dxa"/>
            <w:tcBorders>
              <w:top w:val="nil"/>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s="宋体"/>
                <w:color w:val="auto"/>
                <w:kern w:val="0"/>
                <w:sz w:val="24"/>
                <w:szCs w:val="24"/>
              </w:rPr>
            </w:pPr>
            <w:r>
              <w:rPr>
                <w:rFonts w:ascii="微软雅黑" w:hAnsi="微软雅黑" w:eastAsia="微软雅黑" w:cs="宋体"/>
                <w:color w:val="auto"/>
                <w:kern w:val="0"/>
                <w:sz w:val="24"/>
                <w:szCs w:val="24"/>
              </w:rPr>
              <w:t>110</w:t>
            </w:r>
          </w:p>
        </w:tc>
      </w:tr>
      <w:tr>
        <w:tblPrEx>
          <w:tblLayout w:type="fixed"/>
          <w:tblCellMar>
            <w:top w:w="0" w:type="dxa"/>
            <w:left w:w="108" w:type="dxa"/>
            <w:bottom w:w="0" w:type="dxa"/>
            <w:right w:w="108" w:type="dxa"/>
          </w:tblCellMar>
        </w:tblPrEx>
        <w:trPr>
          <w:trHeight w:val="269" w:hRule="atLeast"/>
          <w:jc w:val="center"/>
        </w:trPr>
        <w:tc>
          <w:tcPr>
            <w:tcW w:w="4884" w:type="dxa"/>
            <w:tcBorders>
              <w:top w:val="nil"/>
              <w:left w:val="single" w:color="auto" w:sz="4" w:space="0"/>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s="宋体"/>
                <w:color w:val="auto"/>
                <w:kern w:val="0"/>
                <w:sz w:val="24"/>
                <w:szCs w:val="24"/>
              </w:rPr>
            </w:pPr>
            <w:r>
              <w:rPr>
                <w:rFonts w:hint="eastAsia" w:ascii="微软雅黑" w:hAnsi="微软雅黑" w:eastAsia="微软雅黑" w:cs="宋体"/>
                <w:color w:val="auto"/>
                <w:kern w:val="0"/>
                <w:sz w:val="24"/>
                <w:szCs w:val="24"/>
              </w:rPr>
              <w:t>火警电话</w:t>
            </w:r>
          </w:p>
        </w:tc>
        <w:tc>
          <w:tcPr>
            <w:tcW w:w="2089" w:type="dxa"/>
            <w:tcBorders>
              <w:top w:val="nil"/>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s="宋体"/>
                <w:color w:val="auto"/>
                <w:kern w:val="0"/>
                <w:sz w:val="24"/>
                <w:szCs w:val="24"/>
              </w:rPr>
            </w:pPr>
            <w:r>
              <w:rPr>
                <w:rFonts w:ascii="微软雅黑" w:hAnsi="微软雅黑" w:eastAsia="微软雅黑" w:cs="宋体"/>
                <w:color w:val="auto"/>
                <w:kern w:val="0"/>
                <w:sz w:val="24"/>
                <w:szCs w:val="24"/>
              </w:rPr>
              <w:t>119</w:t>
            </w:r>
          </w:p>
        </w:tc>
      </w:tr>
      <w:tr>
        <w:tblPrEx>
          <w:tblLayout w:type="fixed"/>
          <w:tblCellMar>
            <w:top w:w="0" w:type="dxa"/>
            <w:left w:w="108" w:type="dxa"/>
            <w:bottom w:w="0" w:type="dxa"/>
            <w:right w:w="108" w:type="dxa"/>
          </w:tblCellMar>
        </w:tblPrEx>
        <w:trPr>
          <w:trHeight w:val="269" w:hRule="atLeast"/>
          <w:jc w:val="center"/>
        </w:trPr>
        <w:tc>
          <w:tcPr>
            <w:tcW w:w="4884" w:type="dxa"/>
            <w:tcBorders>
              <w:top w:val="nil"/>
              <w:left w:val="single" w:color="auto" w:sz="4" w:space="0"/>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s="宋体"/>
                <w:color w:val="auto"/>
                <w:kern w:val="0"/>
                <w:sz w:val="24"/>
                <w:szCs w:val="24"/>
              </w:rPr>
            </w:pPr>
            <w:r>
              <w:rPr>
                <w:rFonts w:hint="eastAsia" w:ascii="微软雅黑" w:hAnsi="微软雅黑" w:eastAsia="微软雅黑" w:cs="宋体"/>
                <w:color w:val="auto"/>
                <w:kern w:val="0"/>
                <w:sz w:val="24"/>
                <w:szCs w:val="24"/>
              </w:rPr>
              <w:t>急救电话</w:t>
            </w:r>
          </w:p>
        </w:tc>
        <w:tc>
          <w:tcPr>
            <w:tcW w:w="2089" w:type="dxa"/>
            <w:tcBorders>
              <w:top w:val="nil"/>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s="宋体"/>
                <w:color w:val="auto"/>
                <w:kern w:val="0"/>
                <w:sz w:val="24"/>
                <w:szCs w:val="24"/>
              </w:rPr>
            </w:pPr>
            <w:r>
              <w:rPr>
                <w:rFonts w:ascii="微软雅黑" w:hAnsi="微软雅黑" w:eastAsia="微软雅黑" w:cs="宋体"/>
                <w:color w:val="auto"/>
                <w:kern w:val="0"/>
                <w:sz w:val="24"/>
                <w:szCs w:val="24"/>
              </w:rPr>
              <w:t>120</w:t>
            </w:r>
          </w:p>
        </w:tc>
      </w:tr>
      <w:tr>
        <w:tblPrEx>
          <w:tblLayout w:type="fixed"/>
          <w:tblCellMar>
            <w:top w:w="0" w:type="dxa"/>
            <w:left w:w="108" w:type="dxa"/>
            <w:bottom w:w="0" w:type="dxa"/>
            <w:right w:w="108" w:type="dxa"/>
          </w:tblCellMar>
        </w:tblPrEx>
        <w:trPr>
          <w:trHeight w:val="269" w:hRule="atLeast"/>
          <w:jc w:val="center"/>
        </w:trPr>
        <w:tc>
          <w:tcPr>
            <w:tcW w:w="4884"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ascii="微软雅黑" w:hAnsi="微软雅黑" w:eastAsia="微软雅黑" w:cs="宋体"/>
                <w:color w:val="auto"/>
                <w:kern w:val="0"/>
                <w:sz w:val="24"/>
                <w:szCs w:val="24"/>
              </w:rPr>
            </w:pPr>
            <w:r>
              <w:rPr>
                <w:rFonts w:hint="eastAsia" w:ascii="微软雅黑" w:hAnsi="微软雅黑" w:eastAsia="微软雅黑" w:cs="宋体"/>
                <w:color w:val="auto"/>
                <w:kern w:val="0"/>
                <w:sz w:val="24"/>
                <w:szCs w:val="24"/>
              </w:rPr>
              <w:t>道路交通事故报警</w:t>
            </w:r>
          </w:p>
        </w:tc>
        <w:tc>
          <w:tcPr>
            <w:tcW w:w="2089"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微软雅黑" w:hAnsi="微软雅黑" w:eastAsia="微软雅黑" w:cs="宋体"/>
                <w:color w:val="auto"/>
                <w:kern w:val="0"/>
                <w:sz w:val="24"/>
                <w:szCs w:val="24"/>
              </w:rPr>
            </w:pPr>
            <w:r>
              <w:rPr>
                <w:rFonts w:ascii="微软雅黑" w:hAnsi="微软雅黑" w:eastAsia="微软雅黑" w:cs="宋体"/>
                <w:color w:val="auto"/>
                <w:kern w:val="0"/>
                <w:sz w:val="24"/>
                <w:szCs w:val="24"/>
              </w:rPr>
              <w:t>122</w:t>
            </w:r>
          </w:p>
        </w:tc>
      </w:tr>
      <w:tr>
        <w:tblPrEx>
          <w:tblLayout w:type="fixed"/>
          <w:tblCellMar>
            <w:top w:w="0" w:type="dxa"/>
            <w:left w:w="108" w:type="dxa"/>
            <w:bottom w:w="0" w:type="dxa"/>
            <w:right w:w="108" w:type="dxa"/>
          </w:tblCellMar>
        </w:tblPrEx>
        <w:trPr>
          <w:trHeight w:val="269" w:hRule="atLeast"/>
          <w:jc w:val="center"/>
        </w:trPr>
        <w:tc>
          <w:tcPr>
            <w:tcW w:w="4884"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ascii="微软雅黑" w:hAnsi="微软雅黑" w:eastAsia="微软雅黑" w:cs="宋体"/>
                <w:color w:val="auto"/>
                <w:kern w:val="0"/>
                <w:sz w:val="24"/>
                <w:szCs w:val="24"/>
              </w:rPr>
            </w:pPr>
            <w:r>
              <w:rPr>
                <w:rFonts w:hint="eastAsia" w:ascii="微软雅黑" w:hAnsi="微软雅黑" w:eastAsia="微软雅黑" w:cs="宋体"/>
                <w:color w:val="auto"/>
                <w:kern w:val="0"/>
                <w:sz w:val="24"/>
                <w:szCs w:val="24"/>
              </w:rPr>
              <w:t>电话查询</w:t>
            </w:r>
          </w:p>
        </w:tc>
        <w:tc>
          <w:tcPr>
            <w:tcW w:w="2089"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微软雅黑" w:hAnsi="微软雅黑" w:eastAsia="微软雅黑" w:cs="宋体"/>
                <w:color w:val="auto"/>
                <w:kern w:val="0"/>
                <w:sz w:val="24"/>
                <w:szCs w:val="24"/>
              </w:rPr>
            </w:pPr>
            <w:r>
              <w:rPr>
                <w:rFonts w:ascii="微软雅黑" w:hAnsi="微软雅黑" w:eastAsia="微软雅黑" w:cs="宋体"/>
                <w:color w:val="auto"/>
                <w:kern w:val="0"/>
                <w:sz w:val="24"/>
                <w:szCs w:val="24"/>
              </w:rPr>
              <w:t>114</w:t>
            </w:r>
          </w:p>
        </w:tc>
      </w:tr>
      <w:tr>
        <w:tblPrEx>
          <w:tblLayout w:type="fixed"/>
          <w:tblCellMar>
            <w:top w:w="0" w:type="dxa"/>
            <w:left w:w="108" w:type="dxa"/>
            <w:bottom w:w="0" w:type="dxa"/>
            <w:right w:w="108" w:type="dxa"/>
          </w:tblCellMar>
        </w:tblPrEx>
        <w:trPr>
          <w:trHeight w:val="269" w:hRule="atLeast"/>
          <w:jc w:val="center"/>
        </w:trPr>
        <w:tc>
          <w:tcPr>
            <w:tcW w:w="4884"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ascii="微软雅黑" w:hAnsi="微软雅黑" w:eastAsia="微软雅黑" w:cs="宋体"/>
                <w:color w:val="auto"/>
                <w:kern w:val="0"/>
                <w:sz w:val="24"/>
                <w:szCs w:val="24"/>
              </w:rPr>
            </w:pPr>
            <w:r>
              <w:rPr>
                <w:rFonts w:hint="eastAsia" w:ascii="微软雅黑" w:hAnsi="微软雅黑" w:eastAsia="微软雅黑" w:cs="宋体"/>
                <w:color w:val="auto"/>
                <w:kern w:val="0"/>
                <w:sz w:val="24"/>
                <w:szCs w:val="24"/>
              </w:rPr>
              <w:t>天气预报</w:t>
            </w:r>
          </w:p>
        </w:tc>
        <w:tc>
          <w:tcPr>
            <w:tcW w:w="2089"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微软雅黑" w:hAnsi="微软雅黑" w:eastAsia="微软雅黑" w:cs="宋体"/>
                <w:color w:val="auto"/>
                <w:kern w:val="0"/>
                <w:sz w:val="24"/>
                <w:szCs w:val="24"/>
              </w:rPr>
            </w:pPr>
            <w:r>
              <w:rPr>
                <w:rFonts w:ascii="微软雅黑" w:hAnsi="微软雅黑" w:eastAsia="微软雅黑" w:cs="宋体"/>
                <w:color w:val="auto"/>
                <w:kern w:val="0"/>
                <w:sz w:val="24"/>
                <w:szCs w:val="24"/>
              </w:rPr>
              <w:t>12121/96121</w:t>
            </w:r>
          </w:p>
        </w:tc>
      </w:tr>
      <w:tr>
        <w:tblPrEx>
          <w:tblLayout w:type="fixed"/>
          <w:tblCellMar>
            <w:top w:w="0" w:type="dxa"/>
            <w:left w:w="108" w:type="dxa"/>
            <w:bottom w:w="0" w:type="dxa"/>
            <w:right w:w="108" w:type="dxa"/>
          </w:tblCellMar>
        </w:tblPrEx>
        <w:trPr>
          <w:trHeight w:val="269" w:hRule="atLeast"/>
          <w:jc w:val="center"/>
        </w:trPr>
        <w:tc>
          <w:tcPr>
            <w:tcW w:w="4884"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ascii="微软雅黑" w:hAnsi="微软雅黑" w:eastAsia="微软雅黑" w:cs="宋体"/>
                <w:color w:val="auto"/>
                <w:kern w:val="0"/>
                <w:sz w:val="24"/>
                <w:szCs w:val="24"/>
              </w:rPr>
            </w:pPr>
            <w:r>
              <w:rPr>
                <w:rFonts w:hint="eastAsia" w:ascii="微软雅黑" w:hAnsi="微软雅黑" w:eastAsia="微软雅黑" w:cs="宋体"/>
                <w:color w:val="auto"/>
                <w:kern w:val="0"/>
                <w:sz w:val="24"/>
                <w:szCs w:val="24"/>
              </w:rPr>
              <w:t>成都公交热线</w:t>
            </w:r>
          </w:p>
        </w:tc>
        <w:tc>
          <w:tcPr>
            <w:tcW w:w="2089"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微软雅黑" w:hAnsi="微软雅黑" w:eastAsia="微软雅黑" w:cs="宋体"/>
                <w:color w:val="auto"/>
                <w:kern w:val="0"/>
                <w:sz w:val="24"/>
                <w:szCs w:val="24"/>
              </w:rPr>
            </w:pPr>
            <w:r>
              <w:rPr>
                <w:rFonts w:ascii="微软雅黑" w:hAnsi="微软雅黑" w:eastAsia="微软雅黑" w:cs="宋体"/>
                <w:color w:val="auto"/>
                <w:kern w:val="0"/>
                <w:sz w:val="24"/>
                <w:szCs w:val="24"/>
              </w:rPr>
              <w:t>(028)85076868</w:t>
            </w:r>
          </w:p>
        </w:tc>
      </w:tr>
      <w:tr>
        <w:tblPrEx>
          <w:tblLayout w:type="fixed"/>
          <w:tblCellMar>
            <w:top w:w="0" w:type="dxa"/>
            <w:left w:w="108" w:type="dxa"/>
            <w:bottom w:w="0" w:type="dxa"/>
            <w:right w:w="108" w:type="dxa"/>
          </w:tblCellMar>
        </w:tblPrEx>
        <w:trPr>
          <w:trHeight w:val="269" w:hRule="atLeast"/>
          <w:jc w:val="center"/>
        </w:trPr>
        <w:tc>
          <w:tcPr>
            <w:tcW w:w="48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ascii="微软雅黑" w:hAnsi="微软雅黑" w:eastAsia="微软雅黑" w:cs="宋体"/>
                <w:color w:val="auto"/>
                <w:kern w:val="0"/>
                <w:sz w:val="24"/>
                <w:szCs w:val="24"/>
              </w:rPr>
            </w:pPr>
            <w:r>
              <w:rPr>
                <w:rFonts w:hint="eastAsia" w:ascii="微软雅黑" w:hAnsi="微软雅黑" w:eastAsia="微软雅黑" w:cs="宋体"/>
                <w:color w:val="auto"/>
                <w:kern w:val="0"/>
                <w:sz w:val="24"/>
                <w:szCs w:val="24"/>
              </w:rPr>
              <w:t>消费者委员会投诉电话</w:t>
            </w:r>
          </w:p>
        </w:tc>
        <w:tc>
          <w:tcPr>
            <w:tcW w:w="2089"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ascii="微软雅黑" w:hAnsi="微软雅黑" w:eastAsia="微软雅黑" w:cs="宋体"/>
                <w:color w:val="auto"/>
                <w:kern w:val="0"/>
                <w:sz w:val="24"/>
                <w:szCs w:val="24"/>
              </w:rPr>
            </w:pPr>
            <w:r>
              <w:rPr>
                <w:rFonts w:ascii="微软雅黑" w:hAnsi="微软雅黑" w:eastAsia="微软雅黑" w:cs="宋体"/>
                <w:color w:val="auto"/>
                <w:kern w:val="0"/>
                <w:sz w:val="24"/>
                <w:szCs w:val="24"/>
              </w:rPr>
              <w:t>12315</w:t>
            </w:r>
          </w:p>
        </w:tc>
      </w:tr>
      <w:tr>
        <w:tblPrEx>
          <w:tblLayout w:type="fixed"/>
          <w:tblCellMar>
            <w:top w:w="0" w:type="dxa"/>
            <w:left w:w="108" w:type="dxa"/>
            <w:bottom w:w="0" w:type="dxa"/>
            <w:right w:w="108" w:type="dxa"/>
          </w:tblCellMar>
        </w:tblPrEx>
        <w:trPr>
          <w:trHeight w:val="269" w:hRule="atLeast"/>
          <w:jc w:val="center"/>
        </w:trPr>
        <w:tc>
          <w:tcPr>
            <w:tcW w:w="48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ascii="微软雅黑" w:hAnsi="微软雅黑" w:eastAsia="微软雅黑" w:cs="宋体"/>
                <w:color w:val="auto"/>
                <w:kern w:val="0"/>
                <w:sz w:val="24"/>
                <w:szCs w:val="24"/>
              </w:rPr>
            </w:pPr>
            <w:r>
              <w:rPr>
                <w:rFonts w:hint="eastAsia" w:ascii="微软雅黑" w:hAnsi="微软雅黑" w:eastAsia="微软雅黑" w:cs="宋体"/>
                <w:color w:val="auto"/>
                <w:kern w:val="0"/>
                <w:sz w:val="24"/>
                <w:szCs w:val="24"/>
              </w:rPr>
              <w:t>自来水（供水、抢修）</w:t>
            </w:r>
          </w:p>
        </w:tc>
        <w:tc>
          <w:tcPr>
            <w:tcW w:w="2089"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ascii="微软雅黑" w:hAnsi="微软雅黑" w:eastAsia="微软雅黑" w:cs="宋体"/>
                <w:color w:val="auto"/>
                <w:kern w:val="0"/>
                <w:sz w:val="24"/>
                <w:szCs w:val="24"/>
              </w:rPr>
            </w:pPr>
            <w:r>
              <w:rPr>
                <w:rFonts w:ascii="微软雅黑" w:hAnsi="微软雅黑" w:eastAsia="微软雅黑" w:cs="宋体"/>
                <w:color w:val="auto"/>
                <w:kern w:val="0"/>
                <w:sz w:val="24"/>
                <w:szCs w:val="24"/>
              </w:rPr>
              <w:t>(028)962965</w:t>
            </w:r>
          </w:p>
        </w:tc>
      </w:tr>
      <w:tr>
        <w:tblPrEx>
          <w:tblLayout w:type="fixed"/>
          <w:tblCellMar>
            <w:top w:w="0" w:type="dxa"/>
            <w:left w:w="108" w:type="dxa"/>
            <w:bottom w:w="0" w:type="dxa"/>
            <w:right w:w="108" w:type="dxa"/>
          </w:tblCellMar>
        </w:tblPrEx>
        <w:trPr>
          <w:trHeight w:val="269" w:hRule="atLeast"/>
          <w:jc w:val="center"/>
        </w:trPr>
        <w:tc>
          <w:tcPr>
            <w:tcW w:w="48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ascii="微软雅黑" w:hAnsi="微软雅黑" w:eastAsia="微软雅黑" w:cs="宋体"/>
                <w:color w:val="auto"/>
                <w:kern w:val="0"/>
                <w:sz w:val="24"/>
                <w:szCs w:val="24"/>
                <w:lang w:eastAsia="zh-TW"/>
              </w:rPr>
            </w:pPr>
            <w:r>
              <w:rPr>
                <w:rFonts w:hint="eastAsia" w:ascii="微软雅黑" w:hAnsi="微软雅黑" w:eastAsia="微软雅黑" w:cs="宋体"/>
                <w:color w:val="auto"/>
                <w:kern w:val="0"/>
                <w:sz w:val="24"/>
                <w:szCs w:val="24"/>
              </w:rPr>
              <w:t>电力（供电、抢修）</w:t>
            </w:r>
          </w:p>
        </w:tc>
        <w:tc>
          <w:tcPr>
            <w:tcW w:w="2089"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ascii="微软雅黑" w:hAnsi="微软雅黑" w:eastAsia="微软雅黑" w:cs="宋体"/>
                <w:color w:val="auto"/>
                <w:kern w:val="0"/>
                <w:sz w:val="24"/>
                <w:szCs w:val="24"/>
              </w:rPr>
            </w:pPr>
            <w:r>
              <w:rPr>
                <w:rFonts w:ascii="微软雅黑" w:hAnsi="微软雅黑" w:eastAsia="微软雅黑" w:cs="宋体"/>
                <w:color w:val="auto"/>
                <w:kern w:val="0"/>
                <w:sz w:val="24"/>
                <w:szCs w:val="24"/>
              </w:rPr>
              <w:t>95598</w:t>
            </w:r>
          </w:p>
        </w:tc>
      </w:tr>
      <w:tr>
        <w:tblPrEx>
          <w:tblLayout w:type="fixed"/>
          <w:tblCellMar>
            <w:top w:w="0" w:type="dxa"/>
            <w:left w:w="108" w:type="dxa"/>
            <w:bottom w:w="0" w:type="dxa"/>
            <w:right w:w="108" w:type="dxa"/>
          </w:tblCellMar>
        </w:tblPrEx>
        <w:trPr>
          <w:trHeight w:val="269" w:hRule="atLeast"/>
          <w:jc w:val="center"/>
        </w:trPr>
        <w:tc>
          <w:tcPr>
            <w:tcW w:w="48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ascii="微软雅黑" w:hAnsi="微软雅黑" w:eastAsia="微软雅黑" w:cs="宋体"/>
                <w:color w:val="auto"/>
                <w:kern w:val="0"/>
                <w:sz w:val="24"/>
                <w:szCs w:val="24"/>
                <w:lang w:eastAsia="zh-TW"/>
              </w:rPr>
            </w:pPr>
            <w:r>
              <w:rPr>
                <w:rFonts w:hint="eastAsia" w:ascii="微软雅黑" w:hAnsi="微软雅黑" w:eastAsia="微软雅黑" w:cs="宋体"/>
                <w:color w:val="auto"/>
                <w:kern w:val="0"/>
                <w:sz w:val="24"/>
                <w:szCs w:val="24"/>
              </w:rPr>
              <w:t>供气服务热线</w:t>
            </w:r>
          </w:p>
        </w:tc>
        <w:tc>
          <w:tcPr>
            <w:tcW w:w="2089"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ascii="微软雅黑" w:hAnsi="微软雅黑" w:eastAsia="微软雅黑" w:cs="宋体"/>
                <w:color w:val="auto"/>
                <w:kern w:val="0"/>
                <w:sz w:val="24"/>
                <w:szCs w:val="24"/>
              </w:rPr>
            </w:pPr>
            <w:r>
              <w:rPr>
                <w:rFonts w:ascii="微软雅黑" w:hAnsi="微软雅黑" w:eastAsia="微软雅黑" w:cs="宋体"/>
                <w:color w:val="auto"/>
                <w:kern w:val="0"/>
                <w:sz w:val="24"/>
                <w:szCs w:val="24"/>
              </w:rPr>
              <w:t>(028)962777</w:t>
            </w:r>
          </w:p>
        </w:tc>
      </w:tr>
      <w:tr>
        <w:tblPrEx>
          <w:tblLayout w:type="fixed"/>
          <w:tblCellMar>
            <w:top w:w="0" w:type="dxa"/>
            <w:left w:w="108" w:type="dxa"/>
            <w:bottom w:w="0" w:type="dxa"/>
            <w:right w:w="108" w:type="dxa"/>
          </w:tblCellMar>
        </w:tblPrEx>
        <w:trPr>
          <w:trHeight w:val="269" w:hRule="atLeast"/>
          <w:jc w:val="center"/>
        </w:trPr>
        <w:tc>
          <w:tcPr>
            <w:tcW w:w="48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ascii="微软雅黑" w:hAnsi="微软雅黑" w:eastAsia="微软雅黑" w:cs="宋体"/>
                <w:color w:val="auto"/>
                <w:kern w:val="0"/>
                <w:sz w:val="24"/>
                <w:szCs w:val="24"/>
              </w:rPr>
            </w:pPr>
            <w:r>
              <w:rPr>
                <w:rFonts w:hint="eastAsia" w:ascii="微软雅黑" w:hAnsi="微软雅黑" w:eastAsia="微软雅黑" w:cs="宋体"/>
                <w:color w:val="auto"/>
                <w:kern w:val="0"/>
                <w:sz w:val="24"/>
                <w:szCs w:val="24"/>
              </w:rPr>
              <w:t>中国移动</w:t>
            </w:r>
          </w:p>
        </w:tc>
        <w:tc>
          <w:tcPr>
            <w:tcW w:w="2089"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ascii="微软雅黑" w:hAnsi="微软雅黑" w:eastAsia="微软雅黑" w:cs="宋体"/>
                <w:color w:val="auto"/>
                <w:kern w:val="0"/>
                <w:sz w:val="24"/>
                <w:szCs w:val="24"/>
              </w:rPr>
            </w:pPr>
            <w:r>
              <w:rPr>
                <w:rFonts w:ascii="微软雅黑" w:hAnsi="微软雅黑" w:eastAsia="微软雅黑" w:cs="宋体"/>
                <w:color w:val="auto"/>
                <w:kern w:val="0"/>
                <w:sz w:val="24"/>
                <w:szCs w:val="24"/>
              </w:rPr>
              <w:t>10086</w:t>
            </w:r>
          </w:p>
        </w:tc>
      </w:tr>
      <w:tr>
        <w:tblPrEx>
          <w:tblLayout w:type="fixed"/>
          <w:tblCellMar>
            <w:top w:w="0" w:type="dxa"/>
            <w:left w:w="108" w:type="dxa"/>
            <w:bottom w:w="0" w:type="dxa"/>
            <w:right w:w="108" w:type="dxa"/>
          </w:tblCellMar>
        </w:tblPrEx>
        <w:trPr>
          <w:trHeight w:val="269" w:hRule="atLeast"/>
          <w:jc w:val="center"/>
        </w:trPr>
        <w:tc>
          <w:tcPr>
            <w:tcW w:w="48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ascii="微软雅黑" w:hAnsi="微软雅黑" w:eastAsia="微软雅黑" w:cs="宋体"/>
                <w:color w:val="auto"/>
                <w:kern w:val="0"/>
                <w:sz w:val="24"/>
                <w:szCs w:val="24"/>
              </w:rPr>
            </w:pPr>
            <w:r>
              <w:rPr>
                <w:rFonts w:hint="eastAsia" w:ascii="微软雅黑" w:hAnsi="微软雅黑" w:eastAsia="微软雅黑" w:cs="宋体"/>
                <w:color w:val="auto"/>
                <w:kern w:val="0"/>
                <w:sz w:val="24"/>
                <w:szCs w:val="24"/>
              </w:rPr>
              <w:t>中国电信</w:t>
            </w:r>
          </w:p>
        </w:tc>
        <w:tc>
          <w:tcPr>
            <w:tcW w:w="2089"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ascii="微软雅黑" w:hAnsi="微软雅黑" w:eastAsia="微软雅黑" w:cs="宋体"/>
                <w:color w:val="auto"/>
                <w:kern w:val="0"/>
                <w:sz w:val="24"/>
                <w:szCs w:val="24"/>
              </w:rPr>
            </w:pPr>
            <w:r>
              <w:rPr>
                <w:rFonts w:ascii="微软雅黑" w:hAnsi="微软雅黑" w:eastAsia="微软雅黑" w:cs="宋体"/>
                <w:color w:val="auto"/>
                <w:kern w:val="0"/>
                <w:sz w:val="24"/>
                <w:szCs w:val="24"/>
              </w:rPr>
              <w:t>10000</w:t>
            </w:r>
          </w:p>
        </w:tc>
      </w:tr>
      <w:tr>
        <w:tblPrEx>
          <w:tblLayout w:type="fixed"/>
          <w:tblCellMar>
            <w:top w:w="0" w:type="dxa"/>
            <w:left w:w="108" w:type="dxa"/>
            <w:bottom w:w="0" w:type="dxa"/>
            <w:right w:w="108" w:type="dxa"/>
          </w:tblCellMar>
        </w:tblPrEx>
        <w:trPr>
          <w:trHeight w:val="269" w:hRule="atLeast"/>
          <w:jc w:val="center"/>
        </w:trPr>
        <w:tc>
          <w:tcPr>
            <w:tcW w:w="48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ascii="微软雅黑" w:hAnsi="微软雅黑" w:eastAsia="微软雅黑" w:cs="宋体"/>
                <w:color w:val="auto"/>
                <w:kern w:val="0"/>
                <w:sz w:val="24"/>
                <w:szCs w:val="24"/>
              </w:rPr>
            </w:pPr>
            <w:r>
              <w:rPr>
                <w:rFonts w:hint="eastAsia" w:ascii="微软雅黑" w:hAnsi="微软雅黑" w:eastAsia="微软雅黑" w:cs="宋体"/>
                <w:color w:val="auto"/>
                <w:kern w:val="0"/>
                <w:sz w:val="24"/>
                <w:szCs w:val="24"/>
              </w:rPr>
              <w:t>中国联通</w:t>
            </w:r>
          </w:p>
        </w:tc>
        <w:tc>
          <w:tcPr>
            <w:tcW w:w="2089"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ascii="微软雅黑" w:hAnsi="微软雅黑" w:eastAsia="微软雅黑" w:cs="宋体"/>
                <w:color w:val="auto"/>
                <w:kern w:val="0"/>
                <w:sz w:val="24"/>
                <w:szCs w:val="24"/>
              </w:rPr>
            </w:pPr>
            <w:r>
              <w:rPr>
                <w:rFonts w:ascii="微软雅黑" w:hAnsi="微软雅黑" w:eastAsia="微软雅黑" w:cs="宋体"/>
                <w:color w:val="auto"/>
                <w:kern w:val="0"/>
                <w:sz w:val="24"/>
                <w:szCs w:val="24"/>
              </w:rPr>
              <w:t>10010</w:t>
            </w:r>
          </w:p>
        </w:tc>
      </w:tr>
    </w:tbl>
    <w:p>
      <w:pPr>
        <w:spacing w:line="400" w:lineRule="exact"/>
        <w:rPr>
          <w:rFonts w:ascii="微软雅黑" w:hAnsi="微软雅黑" w:eastAsia="微软雅黑"/>
          <w:b/>
          <w:color w:val="auto"/>
          <w:sz w:val="30"/>
          <w:szCs w:val="30"/>
          <w:u w:val="single"/>
        </w:rPr>
      </w:pPr>
    </w:p>
    <w:p>
      <w:pPr>
        <w:spacing w:line="400" w:lineRule="exact"/>
        <w:rPr>
          <w:rFonts w:ascii="微软雅黑" w:hAnsi="微软雅黑" w:eastAsia="微软雅黑"/>
          <w:b/>
          <w:color w:val="auto"/>
          <w:sz w:val="30"/>
          <w:szCs w:val="30"/>
          <w:u w:val="single"/>
        </w:rPr>
        <w:sectPr>
          <w:footerReference r:id="rId6" w:type="first"/>
          <w:footerReference r:id="rId4" w:type="default"/>
          <w:headerReference r:id="rId3" w:type="even"/>
          <w:footerReference r:id="rId5" w:type="even"/>
          <w:pgSz w:w="11906" w:h="16838"/>
          <w:pgMar w:top="1440" w:right="1800" w:bottom="1440" w:left="1800" w:header="567" w:footer="992" w:gutter="0"/>
          <w:cols w:space="425" w:num="1"/>
          <w:titlePg/>
          <w:docGrid w:type="lines" w:linePitch="312" w:charSpace="0"/>
        </w:sectPr>
      </w:pPr>
    </w:p>
    <w:p>
      <w:pPr>
        <w:pStyle w:val="28"/>
        <w:numPr>
          <w:ilvl w:val="0"/>
          <w:numId w:val="1"/>
        </w:numPr>
        <w:spacing w:line="480" w:lineRule="auto"/>
        <w:ind w:left="720" w:hanging="720" w:hangingChars="200"/>
        <w:outlineLvl w:val="0"/>
        <w:rPr>
          <w:rFonts w:ascii="微软雅黑" w:hAnsi="微软雅黑" w:eastAsia="微软雅黑"/>
          <w:b/>
          <w:color w:val="auto"/>
          <w:sz w:val="36"/>
          <w:szCs w:val="24"/>
          <w:lang w:eastAsia="zh-TW"/>
        </w:rPr>
      </w:pPr>
      <w:bookmarkStart w:id="2" w:name="_Toc475364379"/>
      <w:r>
        <w:rPr>
          <w:rFonts w:hint="eastAsia" w:ascii="微软雅黑" w:hAnsi="微软雅黑" w:eastAsia="微软雅黑"/>
          <w:b/>
          <w:color w:val="auto"/>
          <w:sz w:val="36"/>
          <w:szCs w:val="24"/>
        </w:rPr>
        <w:t>交通</w:t>
      </w:r>
      <w:bookmarkEnd w:id="2"/>
    </w:p>
    <w:p>
      <w:pPr>
        <w:pStyle w:val="28"/>
        <w:numPr>
          <w:ilvl w:val="0"/>
          <w:numId w:val="2"/>
        </w:numPr>
        <w:spacing w:before="312" w:beforeLines="1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概述</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内地机动车、非机动车及行人均实行右侧通行，</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在内地红灯亮时，右转弯的车辆在不妨碍被放行的车辆、行人通行的情况下，可以通行（但如果红灯不是圆的，而是向前、向左及向右的箭头，表明红灯亮时，相应行驶方向的车辆不得通行）。</w:t>
      </w:r>
    </w:p>
    <w:p>
      <w:pPr>
        <w:spacing w:line="400" w:lineRule="exact"/>
        <w:jc w:val="left"/>
        <w:rPr>
          <w:rFonts w:ascii="微软雅黑" w:hAnsi="微软雅黑" w:eastAsia="微软雅黑"/>
          <w:color w:val="auto"/>
          <w:sz w:val="24"/>
          <w:szCs w:val="24"/>
        </w:rPr>
      </w:pPr>
    </w:p>
    <w:p>
      <w:pPr>
        <w:spacing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在内地各省市驾驶机动车、非机动车及步行，应遵守内地交通规则。</w:t>
      </w:r>
    </w:p>
    <w:p>
      <w:pPr>
        <w:spacing w:line="400" w:lineRule="exact"/>
        <w:jc w:val="left"/>
        <w:rPr>
          <w:rFonts w:ascii="微软雅黑" w:hAnsi="微软雅黑" w:eastAsia="微软雅黑"/>
          <w:color w:val="auto"/>
          <w:sz w:val="24"/>
          <w:szCs w:val="24"/>
        </w:rPr>
      </w:pPr>
    </w:p>
    <w:p>
      <w:pPr>
        <w:spacing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此外，成都市也颁布并实施了具体的地方规定，许多道路禁止左转或为单行道。如欲索取更多信息，请参考成都市公安局交通管理局车辆管理所网站（</w:t>
      </w:r>
      <w:r>
        <w:rPr>
          <w:color w:val="auto"/>
        </w:rPr>
        <w:fldChar w:fldCharType="begin"/>
      </w:r>
      <w:r>
        <w:rPr>
          <w:color w:val="auto"/>
        </w:rPr>
        <w:instrText xml:space="preserve"> HYPERLINK "http://www.gaj.chengdu.gov.cn" </w:instrText>
      </w:r>
      <w:r>
        <w:rPr>
          <w:color w:val="auto"/>
        </w:rPr>
        <w:fldChar w:fldCharType="separate"/>
      </w:r>
      <w:r>
        <w:rPr>
          <w:rFonts w:ascii="微软雅黑" w:hAnsi="微软雅黑" w:eastAsia="微软雅黑"/>
          <w:color w:val="auto"/>
          <w:sz w:val="24"/>
          <w:szCs w:val="24"/>
        </w:rPr>
        <w:t>http://www.gaj.chengdu.gov.cn</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w:t>
      </w:r>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公共交通服务</w:t>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lang w:eastAsia="zh-TW"/>
        </w:rPr>
      </w:pPr>
      <w:r>
        <w:rPr>
          <w:rFonts w:hint="eastAsia" w:ascii="微软雅黑" w:hAnsi="微软雅黑" w:eastAsia="微软雅黑"/>
          <w:b/>
          <w:color w:val="auto"/>
          <w:sz w:val="24"/>
          <w:szCs w:val="24"/>
          <w:u w:val="single"/>
        </w:rPr>
        <w:t>公交</w:t>
      </w:r>
      <w:r>
        <w:rPr>
          <w:rFonts w:ascii="微软雅黑" w:hAnsi="微软雅黑" w:eastAsia="微软雅黑"/>
          <w:b/>
          <w:color w:val="auto"/>
          <w:sz w:val="24"/>
          <w:szCs w:val="24"/>
          <w:u w:val="single"/>
        </w:rPr>
        <w:t>IC</w:t>
      </w:r>
      <w:r>
        <w:rPr>
          <w:rFonts w:hint="eastAsia" w:ascii="微软雅黑" w:hAnsi="微软雅黑" w:eastAsia="微软雅黑"/>
          <w:b/>
          <w:color w:val="auto"/>
          <w:sz w:val="24"/>
          <w:szCs w:val="24"/>
          <w:u w:val="single"/>
        </w:rPr>
        <w:t>卡（天府通）</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天府通一般可于成都市内用作乘搭巴士、地铁及的士。每月可重复充值现金或者巴士乘坐次数，也可连续充值三个月的次数（即本月和接下来两个月），卡内本月次数仅限本月使用，未使用完过期作废。充值可于地铁站内或其他指定地方办理。详情可参考天府通网站（</w:t>
      </w:r>
      <w:r>
        <w:rPr>
          <w:color w:val="auto"/>
        </w:rPr>
        <w:fldChar w:fldCharType="begin"/>
      </w:r>
      <w:r>
        <w:rPr>
          <w:color w:val="auto"/>
        </w:rPr>
        <w:instrText xml:space="preserve"> HYPERLINK "http://cdtft.cn/" </w:instrText>
      </w:r>
      <w:r>
        <w:rPr>
          <w:color w:val="auto"/>
        </w:rPr>
        <w:fldChar w:fldCharType="separate"/>
      </w:r>
      <w:r>
        <w:rPr>
          <w:rFonts w:ascii="微软雅黑" w:hAnsi="微软雅黑" w:eastAsia="微软雅黑"/>
          <w:color w:val="auto"/>
          <w:sz w:val="24"/>
          <w:szCs w:val="24"/>
        </w:rPr>
        <w:t>http://cdtft.cn</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w:t>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lang w:eastAsia="zh-TW"/>
        </w:rPr>
      </w:pPr>
      <w:r>
        <w:rPr>
          <w:rFonts w:hint="eastAsia" w:ascii="微软雅黑" w:hAnsi="微软雅黑" w:eastAsia="微软雅黑"/>
          <w:b/>
          <w:color w:val="auto"/>
          <w:sz w:val="24"/>
          <w:szCs w:val="24"/>
          <w:u w:val="single"/>
        </w:rPr>
        <w:t>巴士（公交车）</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成都市内公交车网络系统完善，可让市民方便舒适地到达市内大部分地方。有关线路及票价，可向成都市公共交通集团公司（网站</w:t>
      </w:r>
      <w:r>
        <w:rPr>
          <w:color w:val="auto"/>
        </w:rPr>
        <w:fldChar w:fldCharType="begin"/>
      </w:r>
      <w:r>
        <w:rPr>
          <w:color w:val="auto"/>
        </w:rPr>
        <w:instrText xml:space="preserve"> HYPERLINK "http://www.cdgjbus.com/" </w:instrText>
      </w:r>
      <w:r>
        <w:rPr>
          <w:color w:val="auto"/>
        </w:rPr>
        <w:fldChar w:fldCharType="separate"/>
      </w:r>
      <w:r>
        <w:rPr>
          <w:rFonts w:ascii="微软雅黑" w:hAnsi="微软雅黑" w:eastAsia="微软雅黑"/>
          <w:color w:val="auto"/>
          <w:sz w:val="24"/>
          <w:szCs w:val="24"/>
        </w:rPr>
        <w:t>http://www.cdgjbus.com</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）查询。</w:t>
      </w:r>
    </w:p>
    <w:p>
      <w:pPr>
        <w:widowControl/>
        <w:jc w:val="left"/>
        <w:rPr>
          <w:rFonts w:ascii="微软雅黑" w:hAnsi="微软雅黑" w:eastAsia="微软雅黑"/>
          <w:color w:val="auto"/>
          <w:sz w:val="24"/>
          <w:szCs w:val="24"/>
        </w:rPr>
      </w:pPr>
      <w:r>
        <w:rPr>
          <w:rFonts w:ascii="微软雅黑" w:hAnsi="微软雅黑" w:eastAsia="微软雅黑"/>
          <w:color w:val="auto"/>
          <w:sz w:val="24"/>
          <w:szCs w:val="24"/>
        </w:rPr>
        <w:br w:type="page"/>
      </w: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成都其他公交车服务包括：</w:t>
      </w:r>
    </w:p>
    <w:p>
      <w:pPr>
        <w:spacing w:before="156" w:beforeLines="50" w:line="400" w:lineRule="exact"/>
        <w:rPr>
          <w:rFonts w:ascii="微软雅黑" w:hAnsi="微软雅黑" w:eastAsia="微软雅黑"/>
          <w:color w:val="auto"/>
          <w:sz w:val="24"/>
          <w:szCs w:val="24"/>
        </w:rPr>
      </w:pPr>
      <w:r>
        <w:rPr>
          <w:rFonts w:hint="eastAsia" w:ascii="微软雅黑" w:hAnsi="微软雅黑" w:eastAsia="微软雅黑"/>
          <w:b/>
          <w:color w:val="auto"/>
          <w:sz w:val="24"/>
          <w:szCs w:val="24"/>
        </w:rPr>
        <w:t>定制公交车：</w:t>
      </w:r>
      <w:r>
        <w:rPr>
          <w:rFonts w:hint="eastAsia" w:ascii="微软雅黑" w:hAnsi="微软雅黑" w:eastAsia="微软雅黑"/>
          <w:color w:val="auto"/>
          <w:sz w:val="24"/>
          <w:szCs w:val="24"/>
        </w:rPr>
        <w:t>成都市开展了定制公交路线，方便乘客完成在居住地和上班地之间一站式快速转移。欲了解更多详细讯息，可参考成都公交集团公司网站（</w:t>
      </w:r>
      <w:r>
        <w:rPr>
          <w:color w:val="auto"/>
        </w:rPr>
        <w:fldChar w:fldCharType="begin"/>
      </w:r>
      <w:r>
        <w:rPr>
          <w:color w:val="auto"/>
        </w:rPr>
        <w:instrText xml:space="preserve"> HYPERLINK "http://www.cdgjbus.com）及定制公交門戶網站" </w:instrText>
      </w:r>
      <w:r>
        <w:rPr>
          <w:color w:val="auto"/>
        </w:rPr>
        <w:fldChar w:fldCharType="separate"/>
      </w:r>
      <w:r>
        <w:rPr>
          <w:rFonts w:ascii="微软雅黑" w:hAnsi="微软雅黑" w:eastAsia="微软雅黑"/>
          <w:color w:val="auto"/>
          <w:sz w:val="24"/>
          <w:szCs w:val="24"/>
        </w:rPr>
        <w:t>http://www.cdgjbus.com</w:t>
      </w:r>
      <w:r>
        <w:rPr>
          <w:rFonts w:hint="eastAsia" w:ascii="微软雅黑" w:hAnsi="微软雅黑" w:eastAsia="微软雅黑"/>
          <w:color w:val="auto"/>
          <w:sz w:val="24"/>
          <w:szCs w:val="24"/>
        </w:rPr>
        <w:t>）及定制公交门户网站</w:t>
      </w:r>
      <w:r>
        <w:rPr>
          <w:rFonts w:hint="eastAsia" w:ascii="微软雅黑" w:hAnsi="微软雅黑" w:eastAsia="微软雅黑"/>
          <w:color w:val="auto"/>
          <w:sz w:val="24"/>
          <w:szCs w:val="24"/>
        </w:rPr>
        <w:fldChar w:fldCharType="end"/>
      </w:r>
      <w:r>
        <w:rPr>
          <w:rFonts w:hint="eastAsia" w:ascii="微软雅黑" w:hAnsi="微软雅黑" w:eastAsia="微软雅黑"/>
          <w:color w:val="auto"/>
          <w:sz w:val="24"/>
          <w:szCs w:val="24"/>
        </w:rPr>
        <w:t>（</w:t>
      </w:r>
      <w:r>
        <w:rPr>
          <w:color w:val="auto"/>
        </w:rPr>
        <w:fldChar w:fldCharType="begin"/>
      </w:r>
      <w:r>
        <w:rPr>
          <w:color w:val="auto"/>
        </w:rPr>
        <w:instrText xml:space="preserve"> HYPERLINK "http://www.basbus.cn/" </w:instrText>
      </w:r>
      <w:r>
        <w:rPr>
          <w:color w:val="auto"/>
        </w:rPr>
        <w:fldChar w:fldCharType="separate"/>
      </w:r>
      <w:r>
        <w:rPr>
          <w:rFonts w:ascii="微软雅黑" w:hAnsi="微软雅黑" w:eastAsia="微软雅黑"/>
          <w:color w:val="auto"/>
          <w:sz w:val="24"/>
          <w:szCs w:val="24"/>
        </w:rPr>
        <w:t>http://www.basbus.cn</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），或通过「巴适公交」移动客户端咨询。</w:t>
      </w:r>
    </w:p>
    <w:p>
      <w:pPr>
        <w:spacing w:line="400" w:lineRule="exact"/>
        <w:rPr>
          <w:rFonts w:ascii="微软雅黑" w:hAnsi="微软雅黑" w:eastAsia="微软雅黑"/>
          <w:b/>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b/>
          <w:color w:val="auto"/>
          <w:sz w:val="24"/>
          <w:szCs w:val="24"/>
        </w:rPr>
        <w:t>机场巴士：</w:t>
      </w:r>
      <w:r>
        <w:rPr>
          <w:rFonts w:hint="eastAsia" w:ascii="微软雅黑" w:hAnsi="微软雅黑" w:eastAsia="微软雅黑"/>
          <w:color w:val="auto"/>
          <w:sz w:val="24"/>
          <w:szCs w:val="24"/>
        </w:rPr>
        <w:t>乘客可乘坐机场巴士，往返成都双流国际机场与成都市区。欲了解更详细讯息，可参考成都双流国际机场网站（</w:t>
      </w:r>
      <w:r>
        <w:rPr>
          <w:color w:val="auto"/>
        </w:rPr>
        <w:fldChar w:fldCharType="begin"/>
      </w:r>
      <w:r>
        <w:rPr>
          <w:color w:val="auto"/>
        </w:rPr>
        <w:instrText xml:space="preserve"> HYPERLINK "http://www.cdairport.com/index.jsp" </w:instrText>
      </w:r>
      <w:r>
        <w:rPr>
          <w:color w:val="auto"/>
        </w:rPr>
        <w:fldChar w:fldCharType="separate"/>
      </w:r>
      <w:r>
        <w:rPr>
          <w:rFonts w:ascii="微软雅黑" w:hAnsi="微软雅黑" w:eastAsia="微软雅黑"/>
          <w:color w:val="auto"/>
          <w:sz w:val="24"/>
          <w:szCs w:val="24"/>
        </w:rPr>
        <w:t>http://www.cdairport.com</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），也可电话咨询</w:t>
      </w:r>
      <w:r>
        <w:rPr>
          <w:rFonts w:ascii="微软雅黑" w:hAnsi="微软雅黑" w:eastAsia="微软雅黑"/>
          <w:color w:val="auto"/>
          <w:sz w:val="24"/>
          <w:szCs w:val="24"/>
        </w:rPr>
        <w:t>(028)85205555</w:t>
      </w:r>
      <w:r>
        <w:rPr>
          <w:rFonts w:hint="eastAsia" w:ascii="微软雅黑" w:hAnsi="微软雅黑" w:eastAsia="微软雅黑"/>
          <w:color w:val="auto"/>
          <w:sz w:val="24"/>
          <w:szCs w:val="24"/>
        </w:rPr>
        <w:t>。</w:t>
      </w:r>
    </w:p>
    <w:p>
      <w:pPr>
        <w:spacing w:line="400" w:lineRule="exact"/>
        <w:rPr>
          <w:rFonts w:ascii="微软雅黑" w:hAnsi="微软雅黑" w:eastAsia="微软雅黑"/>
          <w:b/>
          <w:color w:val="auto"/>
          <w:sz w:val="24"/>
          <w:szCs w:val="24"/>
        </w:rPr>
      </w:pPr>
    </w:p>
    <w:p>
      <w:pPr>
        <w:spacing w:line="400" w:lineRule="exact"/>
        <w:rPr>
          <w:rFonts w:ascii="微软雅黑" w:hAnsi="微软雅黑" w:eastAsia="微软雅黑"/>
          <w:b/>
          <w:color w:val="auto"/>
          <w:sz w:val="24"/>
          <w:szCs w:val="24"/>
        </w:rPr>
      </w:pPr>
      <w:r>
        <w:rPr>
          <w:rFonts w:hint="eastAsia" w:ascii="微软雅黑" w:hAnsi="微软雅黑" w:eastAsia="微软雅黑"/>
          <w:b/>
          <w:color w:val="auto"/>
          <w:sz w:val="24"/>
          <w:szCs w:val="24"/>
        </w:rPr>
        <w:t>长途客运：</w:t>
      </w:r>
      <w:r>
        <w:rPr>
          <w:rFonts w:hint="eastAsia" w:ascii="微软雅黑" w:hAnsi="微软雅黑" w:eastAsia="微软雅黑"/>
          <w:color w:val="auto"/>
          <w:sz w:val="24"/>
          <w:szCs w:val="24"/>
        </w:rPr>
        <w:t>长途汽车票可在各客运站或市内部分红旗超市购买，个别汽车站始发车次的车票还可以通过网站预约。成都主要长途汽车站有：</w:t>
      </w:r>
    </w:p>
    <w:p>
      <w:pPr>
        <w:pStyle w:val="28"/>
        <w:numPr>
          <w:ilvl w:val="0"/>
          <w:numId w:val="5"/>
        </w:numPr>
        <w:spacing w:before="156" w:beforeLines="50"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u w:val="single"/>
        </w:rPr>
        <w:t>五桂桥汽车站</w:t>
      </w:r>
      <w:r>
        <w:rPr>
          <w:rFonts w:hint="eastAsia" w:ascii="微软雅黑" w:hAnsi="微软雅黑" w:eastAsia="微软雅黑"/>
          <w:color w:val="auto"/>
          <w:sz w:val="24"/>
          <w:szCs w:val="24"/>
        </w:rPr>
        <w:t>（</w:t>
      </w:r>
      <w:r>
        <w:rPr>
          <w:rFonts w:hint="eastAsia" w:ascii="微软雅黑" w:hAnsi="微软雅黑" w:eastAsia="微软雅黑"/>
          <w:color w:val="auto"/>
          <w:sz w:val="24"/>
          <w:szCs w:val="24"/>
          <w:u w:val="single"/>
        </w:rPr>
        <w:t>成都汽车总站</w:t>
      </w:r>
      <w:r>
        <w:rPr>
          <w:rFonts w:hint="eastAsia" w:ascii="微软雅黑" w:hAnsi="微软雅黑" w:eastAsia="微软雅黑"/>
          <w:color w:val="auto"/>
          <w:sz w:val="24"/>
          <w:szCs w:val="24"/>
        </w:rPr>
        <w:t>）：班车主要发往重庆、泸州、宜宾、万州、长寿、自贡、内江、荣昌、资中、资阳、永川、江津、龙台、驯龙、遂宁</w:t>
      </w:r>
      <w:r>
        <w:rPr>
          <w:rFonts w:ascii="微软雅黑" w:hAnsi="微软雅黑" w:eastAsia="微软雅黑"/>
          <w:color w:val="auto"/>
          <w:sz w:val="24"/>
          <w:szCs w:val="24"/>
        </w:rPr>
        <w:t>、</w:t>
      </w:r>
      <w:r>
        <w:rPr>
          <w:rFonts w:hint="eastAsia" w:ascii="微软雅黑" w:hAnsi="微软雅黑" w:eastAsia="微软雅黑"/>
          <w:color w:val="auto"/>
          <w:sz w:val="24"/>
          <w:szCs w:val="24"/>
        </w:rPr>
        <w:t>乐至、南宁</w:t>
      </w:r>
      <w:r>
        <w:rPr>
          <w:rFonts w:ascii="微软雅黑" w:hAnsi="微软雅黑" w:eastAsia="微软雅黑"/>
          <w:color w:val="auto"/>
          <w:sz w:val="24"/>
          <w:szCs w:val="24"/>
        </w:rPr>
        <w:t>、桂林、</w:t>
      </w:r>
      <w:r>
        <w:rPr>
          <w:rFonts w:hint="eastAsia" w:ascii="微软雅黑" w:hAnsi="微软雅黑" w:eastAsia="微软雅黑"/>
          <w:color w:val="auto"/>
          <w:sz w:val="24"/>
          <w:szCs w:val="24"/>
        </w:rPr>
        <w:t>彭水、壁山、安岳、涪陵等地。地址：成都市锦江区迎晖路</w:t>
      </w:r>
      <w:r>
        <w:rPr>
          <w:rFonts w:ascii="微软雅黑" w:hAnsi="微软雅黑" w:eastAsia="微软雅黑"/>
          <w:color w:val="auto"/>
          <w:sz w:val="24"/>
          <w:szCs w:val="24"/>
        </w:rPr>
        <w:t>194</w:t>
      </w:r>
      <w:r>
        <w:rPr>
          <w:rFonts w:hint="eastAsia" w:ascii="微软雅黑" w:hAnsi="微软雅黑" w:eastAsia="微软雅黑"/>
          <w:color w:val="auto"/>
          <w:sz w:val="24"/>
          <w:szCs w:val="24"/>
        </w:rPr>
        <w:t>号。联络电话：</w:t>
      </w:r>
      <w:r>
        <w:rPr>
          <w:rFonts w:ascii="微软雅黑" w:hAnsi="微软雅黑" w:eastAsia="微软雅黑"/>
          <w:color w:val="auto"/>
          <w:sz w:val="24"/>
          <w:szCs w:val="24"/>
        </w:rPr>
        <w:t>(028)84716144</w:t>
      </w:r>
      <w:r>
        <w:rPr>
          <w:rFonts w:hint="eastAsia" w:ascii="微软雅黑" w:hAnsi="微软雅黑" w:eastAsia="微软雅黑"/>
          <w:color w:val="auto"/>
          <w:sz w:val="24"/>
          <w:szCs w:val="24"/>
        </w:rPr>
        <w:t>。</w:t>
      </w:r>
    </w:p>
    <w:p>
      <w:pPr>
        <w:pStyle w:val="28"/>
        <w:numPr>
          <w:ilvl w:val="0"/>
          <w:numId w:val="5"/>
        </w:numPr>
        <w:spacing w:before="78" w:beforeLines="25" w:line="400" w:lineRule="exact"/>
        <w:ind w:left="480" w:hanging="480" w:hangingChars="200"/>
        <w:rPr>
          <w:rFonts w:ascii="微软雅黑" w:hAnsi="微软雅黑" w:eastAsia="微软雅黑"/>
          <w:color w:val="auto"/>
          <w:sz w:val="24"/>
          <w:szCs w:val="24"/>
          <w:lang w:eastAsia="zh-TW"/>
        </w:rPr>
      </w:pPr>
      <w:r>
        <w:rPr>
          <w:rFonts w:hint="eastAsia" w:ascii="微软雅黑" w:hAnsi="微软雅黑" w:eastAsia="微软雅黑"/>
          <w:color w:val="auto"/>
          <w:sz w:val="24"/>
          <w:szCs w:val="24"/>
          <w:u w:val="single"/>
        </w:rPr>
        <w:t>成都旅游集散中心</w:t>
      </w:r>
      <w:r>
        <w:rPr>
          <w:rFonts w:hint="eastAsia" w:ascii="微软雅黑" w:hAnsi="微软雅黑" w:eastAsia="微软雅黑"/>
          <w:color w:val="auto"/>
          <w:sz w:val="24"/>
          <w:szCs w:val="24"/>
        </w:rPr>
        <w:t>（</w:t>
      </w:r>
      <w:r>
        <w:rPr>
          <w:rFonts w:hint="eastAsia" w:ascii="微软雅黑" w:hAnsi="微软雅黑" w:eastAsia="微软雅黑"/>
          <w:color w:val="auto"/>
          <w:sz w:val="24"/>
          <w:szCs w:val="24"/>
          <w:u w:val="single"/>
        </w:rPr>
        <w:t>原新南门客运站</w:t>
      </w:r>
      <w:r>
        <w:rPr>
          <w:rFonts w:hint="eastAsia" w:ascii="微软雅黑" w:hAnsi="微软雅黑" w:eastAsia="微软雅黑"/>
          <w:color w:val="auto"/>
          <w:sz w:val="24"/>
          <w:szCs w:val="24"/>
        </w:rPr>
        <w:t>）：班车主要发往碧峰峡、西岭雪山、都江堰、九寨沟、乐山、邛崃、遂宁等地。地址：成都市武侯区临江路</w:t>
      </w:r>
      <w:r>
        <w:rPr>
          <w:rFonts w:ascii="微软雅黑" w:hAnsi="微软雅黑" w:eastAsia="微软雅黑"/>
          <w:color w:val="auto"/>
          <w:sz w:val="24"/>
          <w:szCs w:val="24"/>
        </w:rPr>
        <w:t>57</w:t>
      </w:r>
      <w:r>
        <w:rPr>
          <w:rFonts w:hint="eastAsia" w:ascii="微软雅黑" w:hAnsi="微软雅黑" w:eastAsia="微软雅黑"/>
          <w:color w:val="auto"/>
          <w:sz w:val="24"/>
          <w:szCs w:val="24"/>
        </w:rPr>
        <w:t>号。联络电话：</w:t>
      </w:r>
      <w:r>
        <w:rPr>
          <w:rFonts w:ascii="微软雅黑" w:hAnsi="微软雅黑" w:eastAsia="微软雅黑"/>
          <w:color w:val="auto"/>
          <w:sz w:val="24"/>
          <w:szCs w:val="24"/>
        </w:rPr>
        <w:t>(028)85433609</w:t>
      </w:r>
      <w:r>
        <w:rPr>
          <w:rFonts w:hint="eastAsia" w:ascii="微软雅黑" w:hAnsi="微软雅黑" w:eastAsia="微软雅黑"/>
          <w:color w:val="auto"/>
          <w:sz w:val="24"/>
          <w:szCs w:val="24"/>
        </w:rPr>
        <w:t>。</w:t>
      </w:r>
    </w:p>
    <w:p>
      <w:pPr>
        <w:pStyle w:val="28"/>
        <w:numPr>
          <w:ilvl w:val="0"/>
          <w:numId w:val="5"/>
        </w:numPr>
        <w:spacing w:before="156" w:beforeLines="50" w:line="400" w:lineRule="exact"/>
        <w:ind w:left="480" w:hanging="480" w:hangingChars="200"/>
        <w:rPr>
          <w:rFonts w:ascii="微软雅黑" w:hAnsi="微软雅黑" w:eastAsia="微软雅黑"/>
          <w:color w:val="auto"/>
          <w:sz w:val="24"/>
          <w:szCs w:val="24"/>
          <w:lang w:eastAsia="zh-TW"/>
        </w:rPr>
      </w:pPr>
      <w:r>
        <w:rPr>
          <w:rFonts w:hint="eastAsia" w:ascii="微软雅黑" w:hAnsi="微软雅黑" w:eastAsia="微软雅黑"/>
          <w:color w:val="auto"/>
          <w:sz w:val="24"/>
          <w:szCs w:val="24"/>
          <w:u w:val="single"/>
        </w:rPr>
        <w:t>五块石客运站</w:t>
      </w:r>
      <w:r>
        <w:rPr>
          <w:rFonts w:hint="eastAsia" w:ascii="微软雅黑" w:hAnsi="微软雅黑" w:eastAsia="微软雅黑"/>
          <w:color w:val="auto"/>
          <w:sz w:val="24"/>
          <w:szCs w:val="24"/>
        </w:rPr>
        <w:t>：班车主要发往彭州、金堂、资阳、眉山、巴中、达州等地。地址：成都市站北路</w:t>
      </w:r>
      <w:r>
        <w:rPr>
          <w:rFonts w:ascii="微软雅黑" w:hAnsi="微软雅黑" w:eastAsia="微软雅黑"/>
          <w:color w:val="auto"/>
          <w:sz w:val="24"/>
          <w:szCs w:val="24"/>
        </w:rPr>
        <w:t>157</w:t>
      </w:r>
      <w:r>
        <w:rPr>
          <w:rFonts w:hint="eastAsia" w:ascii="微软雅黑" w:hAnsi="微软雅黑" w:eastAsia="微软雅黑"/>
          <w:color w:val="auto"/>
          <w:sz w:val="24"/>
          <w:szCs w:val="24"/>
        </w:rPr>
        <w:t>号。联络电话：(</w:t>
      </w:r>
      <w:r>
        <w:rPr>
          <w:rFonts w:ascii="微软雅黑" w:hAnsi="微软雅黑" w:eastAsia="微软雅黑"/>
          <w:color w:val="auto"/>
          <w:sz w:val="24"/>
          <w:szCs w:val="24"/>
        </w:rPr>
        <w:t>028</w:t>
      </w:r>
      <w:r>
        <w:rPr>
          <w:rFonts w:hint="eastAsia" w:ascii="微软雅黑" w:hAnsi="微软雅黑" w:eastAsia="微软雅黑"/>
          <w:color w:val="auto"/>
          <w:sz w:val="24"/>
          <w:szCs w:val="24"/>
        </w:rPr>
        <w:t>)</w:t>
      </w:r>
      <w:r>
        <w:rPr>
          <w:rFonts w:ascii="微软雅黑" w:hAnsi="微软雅黑" w:eastAsia="微软雅黑"/>
          <w:color w:val="auto"/>
          <w:sz w:val="24"/>
          <w:szCs w:val="24"/>
        </w:rPr>
        <w:t>83118599</w:t>
      </w:r>
      <w:r>
        <w:rPr>
          <w:rFonts w:hint="eastAsia" w:ascii="微软雅黑" w:hAnsi="微软雅黑" w:eastAsia="微软雅黑"/>
          <w:color w:val="auto"/>
          <w:sz w:val="24"/>
          <w:szCs w:val="24"/>
        </w:rPr>
        <w:t>、(</w:t>
      </w:r>
      <w:r>
        <w:rPr>
          <w:rFonts w:ascii="微软雅黑" w:hAnsi="微软雅黑" w:eastAsia="微软雅黑"/>
          <w:color w:val="auto"/>
          <w:sz w:val="24"/>
          <w:szCs w:val="24"/>
        </w:rPr>
        <w:t>028</w:t>
      </w:r>
      <w:r>
        <w:rPr>
          <w:rFonts w:hint="eastAsia" w:ascii="微软雅黑" w:hAnsi="微软雅黑" w:eastAsia="微软雅黑"/>
          <w:color w:val="auto"/>
          <w:sz w:val="24"/>
          <w:szCs w:val="24"/>
        </w:rPr>
        <w:t>)</w:t>
      </w:r>
      <w:r>
        <w:rPr>
          <w:rFonts w:ascii="微软雅黑" w:hAnsi="微软雅黑" w:eastAsia="微软雅黑"/>
          <w:color w:val="auto"/>
          <w:sz w:val="24"/>
          <w:szCs w:val="24"/>
        </w:rPr>
        <w:t>83139872</w:t>
      </w:r>
      <w:r>
        <w:rPr>
          <w:rFonts w:hint="eastAsia" w:ascii="微软雅黑" w:hAnsi="微软雅黑" w:eastAsia="微软雅黑"/>
          <w:color w:val="auto"/>
          <w:sz w:val="24"/>
          <w:szCs w:val="24"/>
        </w:rPr>
        <w:t>。</w:t>
      </w:r>
    </w:p>
    <w:p>
      <w:pPr>
        <w:pStyle w:val="28"/>
        <w:numPr>
          <w:ilvl w:val="0"/>
          <w:numId w:val="5"/>
        </w:numPr>
        <w:spacing w:before="78" w:beforeLines="25" w:line="400" w:lineRule="exact"/>
        <w:ind w:left="480" w:hanging="480" w:hangingChars="200"/>
        <w:rPr>
          <w:rFonts w:ascii="微软雅黑" w:hAnsi="微软雅黑" w:eastAsia="微软雅黑"/>
          <w:color w:val="auto"/>
          <w:sz w:val="24"/>
          <w:szCs w:val="24"/>
          <w:lang w:eastAsia="zh-TW"/>
        </w:rPr>
      </w:pPr>
      <w:r>
        <w:rPr>
          <w:rFonts w:hint="eastAsia" w:ascii="微软雅黑" w:hAnsi="微软雅黑" w:eastAsia="微软雅黑"/>
          <w:color w:val="auto"/>
          <w:sz w:val="24"/>
          <w:szCs w:val="24"/>
          <w:u w:val="single"/>
        </w:rPr>
        <w:t>昭觉寺汽车站</w:t>
      </w:r>
      <w:r>
        <w:rPr>
          <w:rFonts w:hint="eastAsia" w:ascii="微软雅黑" w:hAnsi="微软雅黑" w:eastAsia="微软雅黑"/>
          <w:color w:val="auto"/>
          <w:sz w:val="24"/>
          <w:szCs w:val="24"/>
        </w:rPr>
        <w:t>：班车主要发往德阳、广元、绵阳、青川、射洪、广汉、绵竹等地。地址：成都市成华区昭青横路</w:t>
      </w:r>
      <w:r>
        <w:rPr>
          <w:rFonts w:ascii="微软雅黑" w:hAnsi="微软雅黑" w:eastAsia="微软雅黑"/>
          <w:color w:val="auto"/>
          <w:sz w:val="24"/>
          <w:szCs w:val="24"/>
        </w:rPr>
        <w:t>166</w:t>
      </w:r>
      <w:r>
        <w:rPr>
          <w:rFonts w:hint="eastAsia" w:ascii="微软雅黑" w:hAnsi="微软雅黑" w:eastAsia="微软雅黑"/>
          <w:color w:val="auto"/>
          <w:sz w:val="24"/>
          <w:szCs w:val="24"/>
        </w:rPr>
        <w:t>号。联络电话：</w:t>
      </w:r>
      <w:r>
        <w:rPr>
          <w:rFonts w:ascii="微软雅黑" w:hAnsi="微软雅黑" w:eastAsia="微软雅黑"/>
          <w:color w:val="auto"/>
          <w:sz w:val="24"/>
          <w:szCs w:val="24"/>
        </w:rPr>
        <w:t>(028)83504125</w:t>
      </w:r>
      <w:r>
        <w:rPr>
          <w:rFonts w:hint="eastAsia" w:ascii="微软雅黑" w:hAnsi="微软雅黑" w:eastAsia="微软雅黑"/>
          <w:color w:val="auto"/>
          <w:sz w:val="24"/>
          <w:szCs w:val="24"/>
        </w:rPr>
        <w:t>。</w:t>
      </w:r>
    </w:p>
    <w:p>
      <w:pPr>
        <w:pStyle w:val="28"/>
        <w:widowControl/>
        <w:numPr>
          <w:ilvl w:val="0"/>
          <w:numId w:val="5"/>
        </w:numPr>
        <w:spacing w:before="78" w:beforeLines="25" w:line="400" w:lineRule="exact"/>
        <w:ind w:left="480" w:hanging="480" w:hangingChars="200"/>
        <w:rPr>
          <w:rFonts w:ascii="微软雅黑" w:hAnsi="微软雅黑" w:eastAsia="微软雅黑"/>
          <w:color w:val="auto"/>
          <w:sz w:val="24"/>
          <w:szCs w:val="24"/>
          <w:lang w:eastAsia="zh-TW"/>
        </w:rPr>
      </w:pPr>
      <w:r>
        <w:rPr>
          <w:rFonts w:hint="eastAsia" w:ascii="微软雅黑" w:hAnsi="微软雅黑" w:eastAsia="微软雅黑"/>
          <w:color w:val="auto"/>
          <w:sz w:val="24"/>
          <w:szCs w:val="24"/>
          <w:u w:val="single"/>
        </w:rPr>
        <w:t>茶店子客运站</w:t>
      </w:r>
      <w:r>
        <w:rPr>
          <w:rFonts w:hint="eastAsia" w:ascii="微软雅黑" w:hAnsi="微软雅黑" w:eastAsia="微软雅黑"/>
          <w:color w:val="auto"/>
          <w:sz w:val="24"/>
          <w:szCs w:val="24"/>
        </w:rPr>
        <w:t>：班车主要发往四川西、北部的藏区以及著名的景区，如阿坝、甘孜、两河口、红原、丹巴、若尔盖等地。地址：成都市西三环路五段</w:t>
      </w:r>
      <w:r>
        <w:rPr>
          <w:rFonts w:ascii="微软雅黑" w:hAnsi="微软雅黑" w:eastAsia="微软雅黑"/>
          <w:color w:val="auto"/>
          <w:sz w:val="24"/>
          <w:szCs w:val="24"/>
        </w:rPr>
        <w:t>289</w:t>
      </w:r>
      <w:r>
        <w:rPr>
          <w:rFonts w:hint="eastAsia" w:ascii="微软雅黑" w:hAnsi="微软雅黑" w:eastAsia="微软雅黑"/>
          <w:color w:val="auto"/>
          <w:sz w:val="24"/>
          <w:szCs w:val="24"/>
        </w:rPr>
        <w:t>号。联络电话：</w:t>
      </w:r>
      <w:r>
        <w:rPr>
          <w:rFonts w:ascii="微软雅黑" w:hAnsi="微软雅黑" w:eastAsia="微软雅黑"/>
          <w:color w:val="auto"/>
          <w:sz w:val="24"/>
          <w:szCs w:val="24"/>
        </w:rPr>
        <w:t>(028)87506610</w:t>
      </w:r>
      <w:r>
        <w:rPr>
          <w:rFonts w:hint="eastAsia" w:ascii="微软雅黑" w:hAnsi="微软雅黑" w:eastAsia="微软雅黑"/>
          <w:color w:val="auto"/>
          <w:sz w:val="24"/>
          <w:szCs w:val="24"/>
        </w:rPr>
        <w:t>。</w:t>
      </w:r>
    </w:p>
    <w:p>
      <w:pPr>
        <w:pStyle w:val="28"/>
        <w:numPr>
          <w:ilvl w:val="0"/>
          <w:numId w:val="5"/>
        </w:numPr>
        <w:spacing w:before="46" w:beforeLines="15" w:line="400" w:lineRule="exact"/>
        <w:ind w:left="480" w:hanging="480" w:hangingChars="200"/>
        <w:rPr>
          <w:rFonts w:ascii="微软雅黑" w:hAnsi="微软雅黑" w:eastAsia="微软雅黑"/>
          <w:color w:val="auto"/>
          <w:sz w:val="24"/>
          <w:szCs w:val="24"/>
          <w:lang w:eastAsia="zh-TW"/>
        </w:rPr>
      </w:pPr>
      <w:r>
        <w:rPr>
          <w:rFonts w:hint="eastAsia" w:ascii="微软雅黑" w:hAnsi="微软雅黑" w:eastAsia="微软雅黑"/>
          <w:color w:val="auto"/>
          <w:sz w:val="24"/>
          <w:szCs w:val="24"/>
          <w:u w:val="single"/>
        </w:rPr>
        <w:t>成都东站汽车站</w:t>
      </w:r>
      <w:r>
        <w:rPr>
          <w:rFonts w:hint="eastAsia" w:ascii="微软雅黑" w:hAnsi="微软雅黑" w:eastAsia="微软雅黑"/>
          <w:color w:val="auto"/>
          <w:sz w:val="24"/>
          <w:szCs w:val="24"/>
        </w:rPr>
        <w:t>：班车主要发往西昌、大邑、邛崃、蒲江、温江、新津大件、郫都区、都江堰、新都、崇州、龙泉驿、青白江等地。地址：成都市成华区邛崃山路。联络电话：</w:t>
      </w:r>
      <w:r>
        <w:rPr>
          <w:rFonts w:ascii="微软雅黑" w:hAnsi="微软雅黑" w:eastAsia="微软雅黑"/>
          <w:color w:val="auto"/>
          <w:sz w:val="24"/>
          <w:szCs w:val="24"/>
        </w:rPr>
        <w:t>(028)86307748</w:t>
      </w:r>
      <w:r>
        <w:rPr>
          <w:rFonts w:hint="eastAsia" w:ascii="微软雅黑" w:hAnsi="微软雅黑" w:eastAsia="微软雅黑"/>
          <w:color w:val="auto"/>
          <w:sz w:val="24"/>
          <w:szCs w:val="24"/>
        </w:rPr>
        <w:t>。</w:t>
      </w:r>
    </w:p>
    <w:p>
      <w:pPr>
        <w:pStyle w:val="28"/>
        <w:numPr>
          <w:ilvl w:val="0"/>
          <w:numId w:val="5"/>
        </w:numPr>
        <w:spacing w:before="46" w:beforeLines="15" w:line="400" w:lineRule="exact"/>
        <w:ind w:left="480" w:hanging="480" w:hangingChars="200"/>
        <w:rPr>
          <w:rFonts w:ascii="微软雅黑" w:hAnsi="微软雅黑" w:eastAsia="微软雅黑"/>
          <w:color w:val="auto"/>
          <w:sz w:val="24"/>
          <w:szCs w:val="24"/>
          <w:u w:val="single"/>
          <w:lang w:eastAsia="zh-TW"/>
        </w:rPr>
      </w:pPr>
      <w:r>
        <w:rPr>
          <w:rFonts w:hint="eastAsia" w:ascii="微软雅黑" w:hAnsi="微软雅黑" w:eastAsia="微软雅黑"/>
          <w:color w:val="auto"/>
          <w:sz w:val="24"/>
          <w:szCs w:val="24"/>
          <w:u w:val="single"/>
        </w:rPr>
        <w:t>成都城北客运中心</w:t>
      </w:r>
      <w:r>
        <w:rPr>
          <w:rFonts w:hint="eastAsia" w:ascii="微软雅黑" w:hAnsi="微软雅黑" w:eastAsia="微软雅黑"/>
          <w:color w:val="auto"/>
          <w:sz w:val="24"/>
          <w:szCs w:val="24"/>
        </w:rPr>
        <w:t>：班车主要发往德阳、绵阳、内江、眉山、遂宁、资阳、南充、乐山、泸州、宜宾、自贡等地。地址：成都市金牛区二环路北二段85号。联络电话：</w:t>
      </w:r>
      <w:r>
        <w:rPr>
          <w:rFonts w:ascii="微软雅黑" w:hAnsi="微软雅黑" w:eastAsia="微软雅黑"/>
          <w:color w:val="auto"/>
          <w:sz w:val="24"/>
          <w:szCs w:val="24"/>
        </w:rPr>
        <w:t>(028)83175758</w:t>
      </w:r>
      <w:r>
        <w:rPr>
          <w:rFonts w:hint="eastAsia" w:ascii="微软雅黑" w:hAnsi="微软雅黑" w:eastAsia="微软雅黑"/>
          <w:color w:val="auto"/>
          <w:sz w:val="24"/>
          <w:szCs w:val="24"/>
        </w:rPr>
        <w:t>。</w:t>
      </w:r>
    </w:p>
    <w:p>
      <w:pPr>
        <w:pStyle w:val="28"/>
        <w:keepNext/>
        <w:numPr>
          <w:ilvl w:val="0"/>
          <w:numId w:val="4"/>
        </w:numPr>
        <w:spacing w:before="468" w:beforeLines="150" w:line="400" w:lineRule="exact"/>
        <w:ind w:left="480" w:hanging="480" w:hangingChars="200"/>
        <w:rPr>
          <w:rFonts w:ascii="微软雅黑" w:hAnsi="微软雅黑" w:eastAsia="微软雅黑"/>
          <w:b/>
          <w:color w:val="auto"/>
          <w:sz w:val="24"/>
          <w:szCs w:val="24"/>
          <w:u w:val="single"/>
          <w:lang w:eastAsia="zh-TW"/>
        </w:rPr>
      </w:pPr>
      <w:r>
        <w:rPr>
          <w:rFonts w:hint="eastAsia" w:ascii="微软雅黑" w:hAnsi="微软雅黑" w:eastAsia="微软雅黑"/>
          <w:b/>
          <w:color w:val="auto"/>
          <w:sz w:val="24"/>
          <w:szCs w:val="24"/>
          <w:u w:val="single"/>
        </w:rPr>
        <w:t>的士（</w:t>
      </w:r>
      <w:bookmarkStart w:id="3" w:name="_Hlk503881840"/>
      <w:r>
        <w:rPr>
          <w:rFonts w:hint="eastAsia" w:ascii="微软雅黑" w:hAnsi="微软雅黑" w:eastAsia="微软雅黑"/>
          <w:b/>
          <w:color w:val="auto"/>
          <w:sz w:val="24"/>
          <w:szCs w:val="24"/>
          <w:u w:val="single"/>
        </w:rPr>
        <w:t>出租车</w:t>
      </w:r>
      <w:bookmarkEnd w:id="3"/>
      <w:r>
        <w:rPr>
          <w:rFonts w:hint="eastAsia" w:ascii="微软雅黑" w:hAnsi="微软雅黑" w:eastAsia="微软雅黑"/>
          <w:b/>
          <w:color w:val="auto"/>
          <w:sz w:val="24"/>
          <w:szCs w:val="24"/>
          <w:u w:val="single"/>
        </w:rPr>
        <w:t>）</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成都市出租车分两种颜色，其中市区出租车统一为绿色，各郊区统一为蓝色。成都市出租车收费标准依据成都市物价局的有关规定，在</w:t>
      </w:r>
      <w:r>
        <w:rPr>
          <w:rFonts w:ascii="微软雅黑" w:hAnsi="微软雅黑" w:eastAsia="微软雅黑"/>
          <w:color w:val="auto"/>
          <w:sz w:val="24"/>
          <w:szCs w:val="24"/>
        </w:rPr>
        <w:t>23:00-</w:t>
      </w:r>
      <w:r>
        <w:rPr>
          <w:rFonts w:hint="eastAsia" w:ascii="微软雅黑" w:hAnsi="微软雅黑" w:eastAsia="微软雅黑"/>
          <w:color w:val="auto"/>
          <w:sz w:val="24"/>
          <w:szCs w:val="24"/>
        </w:rPr>
        <w:t>次日</w:t>
      </w:r>
      <w:r>
        <w:rPr>
          <w:rFonts w:ascii="微软雅黑" w:hAnsi="微软雅黑" w:eastAsia="微软雅黑"/>
          <w:color w:val="auto"/>
          <w:sz w:val="24"/>
          <w:szCs w:val="24"/>
        </w:rPr>
        <w:t>6:00</w:t>
      </w:r>
      <w:r>
        <w:rPr>
          <w:rFonts w:hint="eastAsia" w:ascii="微软雅黑" w:hAnsi="微软雅黑" w:eastAsia="微软雅黑"/>
          <w:color w:val="auto"/>
          <w:sz w:val="24"/>
          <w:szCs w:val="24"/>
        </w:rPr>
        <w:t>会收取一定费用的额外服务费，如有问题请咨询成都市交通运输委员会出租车管理处（网站：</w:t>
      </w:r>
      <w:bookmarkStart w:id="4" w:name="_Hlk487031230"/>
      <w:r>
        <w:rPr>
          <w:rFonts w:ascii="微软雅黑" w:hAnsi="微软雅黑" w:eastAsia="微软雅黑"/>
          <w:color w:val="auto"/>
          <w:sz w:val="24"/>
          <w:szCs w:val="24"/>
        </w:rPr>
        <w:fldChar w:fldCharType="begin"/>
      </w:r>
      <w:r>
        <w:rPr>
          <w:rFonts w:ascii="微软雅黑" w:hAnsi="微软雅黑" w:eastAsia="微软雅黑"/>
          <w:color w:val="auto"/>
          <w:sz w:val="24"/>
          <w:szCs w:val="24"/>
        </w:rPr>
        <w:instrText xml:space="preserve"> HYPERLINK "http://www.cdjt.gov.cn/Category_240/Index.aspx" </w:instrText>
      </w:r>
      <w:r>
        <w:rPr>
          <w:rFonts w:ascii="微软雅黑" w:hAnsi="微软雅黑" w:eastAsia="微软雅黑"/>
          <w:color w:val="auto"/>
          <w:sz w:val="24"/>
          <w:szCs w:val="24"/>
        </w:rPr>
        <w:fldChar w:fldCharType="separate"/>
      </w:r>
      <w:r>
        <w:rPr>
          <w:rFonts w:ascii="微软雅黑" w:hAnsi="微软雅黑" w:eastAsia="微软雅黑"/>
          <w:color w:val="auto"/>
          <w:sz w:val="24"/>
          <w:szCs w:val="24"/>
        </w:rPr>
        <w:t>http://www.cdjt.gov.cn</w:t>
      </w:r>
      <w:r>
        <w:rPr>
          <w:rFonts w:ascii="微软雅黑" w:hAnsi="微软雅黑" w:eastAsia="微软雅黑"/>
          <w:color w:val="auto"/>
          <w:sz w:val="24"/>
          <w:szCs w:val="24"/>
        </w:rPr>
        <w:fldChar w:fldCharType="end"/>
      </w:r>
      <w:bookmarkEnd w:id="4"/>
      <w:r>
        <w:rPr>
          <w:rFonts w:hint="eastAsia" w:ascii="微软雅黑" w:hAnsi="微软雅黑" w:eastAsia="微软雅黑"/>
          <w:color w:val="auto"/>
          <w:sz w:val="24"/>
          <w:szCs w:val="24"/>
        </w:rPr>
        <w:t>），电话：</w:t>
      </w:r>
      <w:r>
        <w:rPr>
          <w:rFonts w:ascii="微软雅黑" w:hAnsi="微软雅黑" w:eastAsia="微软雅黑"/>
          <w:color w:val="auto"/>
          <w:sz w:val="24"/>
          <w:szCs w:val="24"/>
        </w:rPr>
        <w:t>(028)962999</w:t>
      </w:r>
      <w:r>
        <w:rPr>
          <w:rFonts w:hint="eastAsia" w:ascii="微软雅黑" w:hAnsi="微软雅黑" w:eastAsia="微软雅黑"/>
          <w:color w:val="auto"/>
          <w:sz w:val="24"/>
          <w:szCs w:val="24"/>
        </w:rPr>
        <w:t>。</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另外，近期有相关网站服务商和手机移动终端提供预约的士的功能，可透过互联网了解相关信息。</w:t>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rPr>
      </w:pPr>
      <w:r>
        <w:rPr>
          <w:rFonts w:hint="eastAsia" w:ascii="微软雅黑" w:hAnsi="微软雅黑" w:eastAsia="微软雅黑"/>
          <w:b/>
          <w:color w:val="auto"/>
          <w:sz w:val="24"/>
          <w:szCs w:val="24"/>
          <w:u w:val="single"/>
        </w:rPr>
        <w:t>网约车</w:t>
      </w:r>
      <w:r>
        <w:rPr>
          <w:rFonts w:ascii="微软雅黑" w:hAnsi="微软雅黑" w:eastAsia="微软雅黑"/>
          <w:b/>
          <w:color w:val="auto"/>
          <w:sz w:val="24"/>
          <w:szCs w:val="24"/>
          <w:u w:val="single"/>
        </w:rPr>
        <w:t xml:space="preserve"> </w:t>
      </w:r>
    </w:p>
    <w:p>
      <w:pPr>
        <w:spacing w:before="156" w:beforeLines="5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近年内地十分流行网约车，乘客可上网预约或实时要车（包括私家车和一般出租车）。详情可浏览一般搜索网站的介绍。</w:t>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lang w:eastAsia="zh-TW"/>
        </w:rPr>
      </w:pPr>
      <w:r>
        <w:rPr>
          <w:rFonts w:hint="eastAsia" w:ascii="微软雅黑" w:hAnsi="微软雅黑" w:eastAsia="微软雅黑"/>
          <w:b/>
          <w:color w:val="auto"/>
          <w:sz w:val="24"/>
          <w:szCs w:val="24"/>
          <w:u w:val="single"/>
        </w:rPr>
        <w:t>地铁</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目前已开通的地铁线路有</w:t>
      </w:r>
      <w:r>
        <w:rPr>
          <w:rFonts w:ascii="微软雅黑" w:hAnsi="微软雅黑" w:eastAsia="微软雅黑"/>
          <w:color w:val="auto"/>
          <w:sz w:val="24"/>
          <w:szCs w:val="24"/>
        </w:rPr>
        <w:t>1</w:t>
      </w:r>
      <w:r>
        <w:rPr>
          <w:rFonts w:hint="eastAsia" w:ascii="微软雅黑" w:hAnsi="微软雅黑" w:eastAsia="微软雅黑"/>
          <w:color w:val="auto"/>
          <w:sz w:val="24"/>
          <w:szCs w:val="24"/>
        </w:rPr>
        <w:t>号线、</w:t>
      </w:r>
      <w:r>
        <w:rPr>
          <w:rFonts w:ascii="微软雅黑" w:hAnsi="微软雅黑" w:eastAsia="微软雅黑"/>
          <w:color w:val="auto"/>
          <w:sz w:val="24"/>
          <w:szCs w:val="24"/>
        </w:rPr>
        <w:t>2</w:t>
      </w:r>
      <w:r>
        <w:rPr>
          <w:rFonts w:hint="eastAsia" w:ascii="微软雅黑" w:hAnsi="微软雅黑" w:eastAsia="微软雅黑"/>
          <w:color w:val="auto"/>
          <w:sz w:val="24"/>
          <w:szCs w:val="24"/>
        </w:rPr>
        <w:t>号线、</w:t>
      </w:r>
      <w:r>
        <w:rPr>
          <w:rFonts w:ascii="微软雅黑" w:hAnsi="微软雅黑" w:eastAsia="微软雅黑"/>
          <w:color w:val="auto"/>
          <w:sz w:val="24"/>
          <w:szCs w:val="24"/>
        </w:rPr>
        <w:t>3</w:t>
      </w:r>
      <w:r>
        <w:rPr>
          <w:rFonts w:hint="eastAsia" w:ascii="微软雅黑" w:hAnsi="微软雅黑" w:eastAsia="微软雅黑"/>
          <w:color w:val="auto"/>
          <w:sz w:val="24"/>
          <w:szCs w:val="24"/>
        </w:rPr>
        <w:t>号线、</w:t>
      </w:r>
      <w:r>
        <w:rPr>
          <w:rFonts w:ascii="微软雅黑" w:hAnsi="微软雅黑" w:eastAsia="微软雅黑"/>
          <w:color w:val="auto"/>
          <w:sz w:val="24"/>
          <w:szCs w:val="24"/>
        </w:rPr>
        <w:t>4</w:t>
      </w:r>
      <w:r>
        <w:rPr>
          <w:rFonts w:hint="eastAsia" w:ascii="微软雅黑" w:hAnsi="微软雅黑" w:eastAsia="微软雅黑"/>
          <w:color w:val="auto"/>
          <w:sz w:val="24"/>
          <w:szCs w:val="24"/>
        </w:rPr>
        <w:t>号线、</w:t>
      </w:r>
      <w:r>
        <w:rPr>
          <w:rFonts w:ascii="微软雅黑" w:hAnsi="微软雅黑" w:eastAsia="微软雅黑"/>
          <w:color w:val="auto"/>
          <w:sz w:val="24"/>
          <w:szCs w:val="24"/>
        </w:rPr>
        <w:t>7</w:t>
      </w:r>
      <w:r>
        <w:rPr>
          <w:rFonts w:hint="eastAsia" w:ascii="微软雅黑" w:hAnsi="微软雅黑" w:eastAsia="微软雅黑"/>
          <w:color w:val="auto"/>
          <w:sz w:val="24"/>
          <w:szCs w:val="24"/>
        </w:rPr>
        <w:t>号线与</w:t>
      </w:r>
      <w:r>
        <w:rPr>
          <w:rFonts w:ascii="微软雅黑" w:hAnsi="微软雅黑" w:eastAsia="微软雅黑"/>
          <w:color w:val="auto"/>
          <w:sz w:val="24"/>
          <w:szCs w:val="24"/>
        </w:rPr>
        <w:t>10</w:t>
      </w:r>
      <w:r>
        <w:rPr>
          <w:rFonts w:hint="eastAsia" w:ascii="微软雅黑" w:hAnsi="微软雅黑" w:eastAsia="微软雅黑"/>
          <w:color w:val="auto"/>
          <w:sz w:val="24"/>
          <w:szCs w:val="24"/>
        </w:rPr>
        <w:t>号线。</w:t>
      </w:r>
      <w:r>
        <w:rPr>
          <w:rFonts w:ascii="微软雅黑" w:hAnsi="微软雅黑" w:eastAsia="微软雅黑"/>
          <w:color w:val="auto"/>
          <w:sz w:val="24"/>
          <w:szCs w:val="24"/>
        </w:rPr>
        <w:t>1</w:t>
      </w:r>
      <w:r>
        <w:rPr>
          <w:rFonts w:hint="eastAsia" w:ascii="微软雅黑" w:hAnsi="微软雅黑" w:eastAsia="微软雅黑"/>
          <w:color w:val="auto"/>
          <w:sz w:val="24"/>
          <w:szCs w:val="24"/>
        </w:rPr>
        <w:t>号线北起升仙湖，南至广都，贯通成都南北两个方向；</w:t>
      </w:r>
      <w:r>
        <w:rPr>
          <w:rFonts w:ascii="微软雅黑" w:hAnsi="微软雅黑" w:eastAsia="微软雅黑"/>
          <w:color w:val="auto"/>
          <w:sz w:val="24"/>
          <w:szCs w:val="24"/>
        </w:rPr>
        <w:t>2</w:t>
      </w:r>
      <w:r>
        <w:rPr>
          <w:rFonts w:hint="eastAsia" w:ascii="微软雅黑" w:hAnsi="微软雅黑" w:eastAsia="微软雅黑"/>
          <w:color w:val="auto"/>
          <w:sz w:val="24"/>
          <w:szCs w:val="24"/>
        </w:rPr>
        <w:t>号线东起龙泉驿，西至犀浦，连接成都东西方向；</w:t>
      </w:r>
      <w:r>
        <w:rPr>
          <w:rFonts w:ascii="微软雅黑" w:hAnsi="微软雅黑" w:eastAsia="微软雅黑"/>
          <w:color w:val="auto"/>
          <w:sz w:val="24"/>
          <w:szCs w:val="24"/>
        </w:rPr>
        <w:t>3</w:t>
      </w:r>
      <w:r>
        <w:rPr>
          <w:rFonts w:hint="eastAsia" w:ascii="微软雅黑" w:hAnsi="微软雅黑" w:eastAsia="微软雅黑"/>
          <w:color w:val="auto"/>
          <w:sz w:val="24"/>
          <w:szCs w:val="24"/>
        </w:rPr>
        <w:t>号线南起太平园，北至军区总医院；</w:t>
      </w:r>
      <w:r>
        <w:rPr>
          <w:rFonts w:ascii="微软雅黑" w:hAnsi="微软雅黑" w:eastAsia="微软雅黑"/>
          <w:color w:val="auto"/>
          <w:sz w:val="24"/>
          <w:szCs w:val="24"/>
        </w:rPr>
        <w:t>4</w:t>
      </w:r>
      <w:r>
        <w:rPr>
          <w:rFonts w:hint="eastAsia" w:ascii="微软雅黑" w:hAnsi="微软雅黑" w:eastAsia="微软雅黑"/>
          <w:color w:val="auto"/>
          <w:sz w:val="24"/>
          <w:szCs w:val="24"/>
        </w:rPr>
        <w:t>号线东起西河站，西至万盛站，连接温江组团和东部新城；</w:t>
      </w:r>
      <w:r>
        <w:rPr>
          <w:rFonts w:ascii="微软雅黑" w:hAnsi="微软雅黑" w:eastAsia="微软雅黑"/>
          <w:color w:val="auto"/>
          <w:sz w:val="24"/>
          <w:szCs w:val="24"/>
        </w:rPr>
        <w:t>7</w:t>
      </w:r>
      <w:r>
        <w:rPr>
          <w:rFonts w:hint="eastAsia" w:ascii="微软雅黑" w:hAnsi="微软雅黑" w:eastAsia="微软雅黑"/>
          <w:color w:val="auto"/>
          <w:sz w:val="24"/>
          <w:szCs w:val="24"/>
        </w:rPr>
        <w:t>号线是成都首条闭合环形线路，位于二、三环间居住用地最密集的环形交通走廊上，沿线串联了成都站、成都东站、成都南站等重要交通枢纽，并与城市快速轨道交通及市域轨道交通放射线形成换乘关系；</w:t>
      </w:r>
      <w:r>
        <w:rPr>
          <w:rFonts w:ascii="微软雅黑" w:hAnsi="微软雅黑" w:eastAsia="微软雅黑"/>
          <w:color w:val="auto"/>
          <w:sz w:val="24"/>
          <w:szCs w:val="24"/>
        </w:rPr>
        <w:t>10</w:t>
      </w:r>
      <w:r>
        <w:rPr>
          <w:rFonts w:hint="eastAsia" w:ascii="微软雅黑" w:hAnsi="微软雅黑" w:eastAsia="微软雅黑"/>
          <w:color w:val="auto"/>
          <w:sz w:val="24"/>
          <w:szCs w:val="24"/>
        </w:rPr>
        <w:t>号线是连接中心城与双流机场的机场专线，起于太平园站，最终接入双流机场</w:t>
      </w:r>
      <w:r>
        <w:rPr>
          <w:rFonts w:ascii="微软雅黑" w:hAnsi="微软雅黑" w:eastAsia="微软雅黑"/>
          <w:color w:val="auto"/>
          <w:sz w:val="24"/>
          <w:szCs w:val="24"/>
        </w:rPr>
        <w:t>T2</w:t>
      </w:r>
      <w:r>
        <w:rPr>
          <w:rFonts w:hint="eastAsia" w:ascii="微软雅黑" w:hAnsi="微软雅黑" w:eastAsia="微软雅黑"/>
          <w:color w:val="auto"/>
          <w:sz w:val="24"/>
          <w:szCs w:val="24"/>
        </w:rPr>
        <w:t>航站楼，共设车站</w:t>
      </w:r>
      <w:r>
        <w:rPr>
          <w:rFonts w:ascii="微软雅黑" w:hAnsi="微软雅黑" w:eastAsia="微软雅黑"/>
          <w:color w:val="auto"/>
          <w:sz w:val="24"/>
          <w:szCs w:val="24"/>
        </w:rPr>
        <w:t>6</w:t>
      </w:r>
      <w:r>
        <w:rPr>
          <w:rFonts w:hint="eastAsia" w:ascii="微软雅黑" w:hAnsi="微软雅黑" w:eastAsia="微软雅黑"/>
          <w:color w:val="auto"/>
          <w:sz w:val="24"/>
          <w:szCs w:val="24"/>
        </w:rPr>
        <w:t>座，其中</w:t>
      </w:r>
      <w:r>
        <w:rPr>
          <w:rFonts w:ascii="微软雅黑" w:hAnsi="微软雅黑" w:eastAsia="微软雅黑"/>
          <w:color w:val="auto"/>
          <w:sz w:val="24"/>
          <w:szCs w:val="24"/>
        </w:rPr>
        <w:t>3</w:t>
      </w:r>
      <w:r>
        <w:rPr>
          <w:rFonts w:hint="eastAsia" w:ascii="微软雅黑" w:hAnsi="微软雅黑" w:eastAsia="微软雅黑"/>
          <w:color w:val="auto"/>
          <w:sz w:val="24"/>
          <w:szCs w:val="24"/>
        </w:rPr>
        <w:t>座为转车站。此后数年预计有更多地铁线路投入服务，欲了解更多讯息，可参考成都地铁网站（</w:t>
      </w:r>
      <w:r>
        <w:rPr>
          <w:color w:val="auto"/>
        </w:rPr>
        <w:fldChar w:fldCharType="begin"/>
      </w:r>
      <w:r>
        <w:rPr>
          <w:color w:val="auto"/>
        </w:rPr>
        <w:instrText xml:space="preserve"> HYPERLINK "http://www.cdmetro.cn" </w:instrText>
      </w:r>
      <w:r>
        <w:rPr>
          <w:color w:val="auto"/>
        </w:rPr>
        <w:fldChar w:fldCharType="separate"/>
      </w:r>
      <w:r>
        <w:rPr>
          <w:rFonts w:ascii="微软雅黑" w:hAnsi="微软雅黑" w:eastAsia="微软雅黑"/>
          <w:color w:val="auto"/>
          <w:sz w:val="24"/>
          <w:szCs w:val="24"/>
        </w:rPr>
        <w:t>http://www.cdmetro.cn</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w:t>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lang w:eastAsia="zh-TW"/>
        </w:rPr>
      </w:pPr>
      <w:r>
        <w:rPr>
          <w:rFonts w:hint="eastAsia" w:ascii="微软雅黑" w:hAnsi="微软雅黑" w:eastAsia="微软雅黑"/>
          <w:b/>
          <w:color w:val="auto"/>
          <w:sz w:val="24"/>
          <w:szCs w:val="24"/>
          <w:u w:val="single"/>
        </w:rPr>
        <w:t>公共自行车</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公交集团提供公共自行车服务，公共自行车的租用对象为</w:t>
      </w:r>
      <w:r>
        <w:rPr>
          <w:rFonts w:ascii="微软雅黑" w:hAnsi="微软雅黑" w:eastAsia="微软雅黑"/>
          <w:color w:val="auto"/>
          <w:sz w:val="24"/>
          <w:szCs w:val="24"/>
        </w:rPr>
        <w:t>16</w:t>
      </w:r>
      <w:r>
        <w:rPr>
          <w:rFonts w:hint="eastAsia" w:ascii="微软雅黑" w:hAnsi="微软雅黑" w:eastAsia="微软雅黑"/>
          <w:color w:val="auto"/>
          <w:sz w:val="24"/>
          <w:szCs w:val="24"/>
        </w:rPr>
        <w:t>周岁至</w:t>
      </w:r>
      <w:r>
        <w:rPr>
          <w:rFonts w:ascii="微软雅黑" w:hAnsi="微软雅黑" w:eastAsia="微软雅黑"/>
          <w:color w:val="auto"/>
          <w:sz w:val="24"/>
          <w:szCs w:val="24"/>
        </w:rPr>
        <w:t>65</w:t>
      </w:r>
      <w:r>
        <w:rPr>
          <w:rFonts w:hint="eastAsia" w:ascii="微软雅黑" w:hAnsi="微软雅黑" w:eastAsia="微软雅黑"/>
          <w:color w:val="auto"/>
          <w:sz w:val="24"/>
          <w:szCs w:val="24"/>
        </w:rPr>
        <w:t>周岁、身体健康且具有熟练自行车骑行能力的市民。</w:t>
      </w:r>
    </w:p>
    <w:p>
      <w:pPr>
        <w:widowControl/>
        <w:jc w:val="left"/>
        <w:rPr>
          <w:rFonts w:ascii="微软雅黑" w:hAnsi="微软雅黑" w:eastAsia="微软雅黑"/>
          <w:color w:val="auto"/>
          <w:sz w:val="24"/>
          <w:szCs w:val="24"/>
        </w:rPr>
      </w:pPr>
      <w:r>
        <w:rPr>
          <w:rFonts w:ascii="微软雅黑" w:hAnsi="微软雅黑" w:eastAsia="微软雅黑"/>
          <w:color w:val="auto"/>
          <w:sz w:val="24"/>
          <w:szCs w:val="24"/>
        </w:rPr>
        <w:br w:type="page"/>
      </w:r>
    </w:p>
    <w:p>
      <w:pPr>
        <w:spacing w:line="360" w:lineRule="exact"/>
        <w:rPr>
          <w:rFonts w:ascii="微软雅黑" w:hAnsi="微软雅黑" w:eastAsia="微软雅黑"/>
          <w:color w:val="auto"/>
          <w:sz w:val="24"/>
          <w:szCs w:val="24"/>
        </w:rPr>
      </w:pP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需持天府通卡、有效身份证明文件到公交集团指定的部分服务点（公交充值点）提出申请，交纳押金</w:t>
      </w:r>
      <w:r>
        <w:rPr>
          <w:rFonts w:ascii="微软雅黑" w:hAnsi="微软雅黑" w:eastAsia="微软雅黑"/>
          <w:color w:val="auto"/>
          <w:sz w:val="24"/>
          <w:szCs w:val="24"/>
        </w:rPr>
        <w:t>300</w:t>
      </w:r>
      <w:r>
        <w:rPr>
          <w:rFonts w:hint="eastAsia" w:ascii="微软雅黑" w:hAnsi="微软雅黑" w:eastAsia="微软雅黑"/>
          <w:color w:val="auto"/>
          <w:sz w:val="24"/>
          <w:szCs w:val="24"/>
        </w:rPr>
        <w:t>元，并在天府通卡电子货币包中预存不低于</w:t>
      </w:r>
      <w:r>
        <w:rPr>
          <w:rFonts w:ascii="微软雅黑" w:hAnsi="微软雅黑" w:eastAsia="微软雅黑"/>
          <w:color w:val="auto"/>
          <w:sz w:val="24"/>
          <w:szCs w:val="24"/>
        </w:rPr>
        <w:t>10</w:t>
      </w:r>
      <w:r>
        <w:rPr>
          <w:rFonts w:hint="eastAsia" w:ascii="微软雅黑" w:hAnsi="微软雅黑" w:eastAsia="微软雅黑"/>
          <w:color w:val="auto"/>
          <w:sz w:val="24"/>
          <w:szCs w:val="24"/>
        </w:rPr>
        <w:t>元金额，即可开通公共自行车租车功能。</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有关费用、站点等问题可参考公交集团网站（</w:t>
      </w:r>
      <w:r>
        <w:rPr>
          <w:color w:val="auto"/>
        </w:rPr>
        <w:fldChar w:fldCharType="begin"/>
      </w:r>
      <w:r>
        <w:rPr>
          <w:color w:val="auto"/>
        </w:rPr>
        <w:instrText xml:space="preserve"> HYPERLINK "http://www.cdgjbus.com)" </w:instrText>
      </w:r>
      <w:r>
        <w:rPr>
          <w:color w:val="auto"/>
        </w:rPr>
        <w:fldChar w:fldCharType="separate"/>
      </w:r>
      <w:r>
        <w:rPr>
          <w:rFonts w:ascii="微软雅黑" w:hAnsi="微软雅黑" w:eastAsia="微软雅黑"/>
          <w:color w:val="auto"/>
          <w:sz w:val="24"/>
          <w:szCs w:val="24"/>
        </w:rPr>
        <w:t>http://www.cdgjbus.com</w:t>
      </w:r>
      <w:r>
        <w:rPr>
          <w:rFonts w:hint="eastAsia" w:ascii="微软雅黑" w:hAnsi="微软雅黑" w:eastAsia="微软雅黑"/>
          <w:color w:val="auto"/>
          <w:sz w:val="24"/>
          <w:szCs w:val="24"/>
        </w:rPr>
        <w:t>）</w:t>
      </w:r>
      <w:r>
        <w:rPr>
          <w:rFonts w:hint="eastAsia" w:ascii="微软雅黑" w:hAnsi="微软雅黑" w:eastAsia="微软雅黑"/>
          <w:color w:val="auto"/>
          <w:sz w:val="24"/>
          <w:szCs w:val="24"/>
        </w:rPr>
        <w:fldChar w:fldCharType="end"/>
      </w:r>
      <w:r>
        <w:rPr>
          <w:rFonts w:hint="eastAsia" w:ascii="微软雅黑" w:hAnsi="微软雅黑" w:eastAsia="微软雅黑"/>
          <w:color w:val="auto"/>
          <w:sz w:val="24"/>
          <w:szCs w:val="24"/>
        </w:rPr>
        <w:t>，咨询电话：</w:t>
      </w:r>
      <w:r>
        <w:rPr>
          <w:rFonts w:ascii="微软雅黑" w:hAnsi="微软雅黑" w:eastAsia="微软雅黑"/>
          <w:color w:val="auto"/>
          <w:sz w:val="24"/>
          <w:szCs w:val="24"/>
        </w:rPr>
        <w:t>(028)85076868</w:t>
      </w:r>
      <w:r>
        <w:rPr>
          <w:rFonts w:hint="eastAsia" w:ascii="微软雅黑" w:hAnsi="微软雅黑" w:eastAsia="微软雅黑"/>
          <w:color w:val="auto"/>
          <w:sz w:val="24"/>
          <w:szCs w:val="24"/>
        </w:rPr>
        <w:t>。</w:t>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rPr>
      </w:pPr>
      <w:r>
        <w:rPr>
          <w:rFonts w:hint="eastAsia" w:ascii="微软雅黑" w:hAnsi="微软雅黑" w:eastAsia="微软雅黑"/>
          <w:b/>
          <w:color w:val="auto"/>
          <w:sz w:val="24"/>
          <w:szCs w:val="24"/>
          <w:u w:val="single"/>
        </w:rPr>
        <w:t>共享单车</w:t>
      </w:r>
    </w:p>
    <w:p>
      <w:pPr>
        <w:spacing w:before="156" w:beforeLines="5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近年内地十分流行共享单车，提供自行车时租共享服务。一般而言，不同租车公司的服务使用者须先缴付不同数额的按金才可使用服务，但亦有一些购物平台提供免按金租车服务。详情可浏览一般搜索网站的介绍。</w:t>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lang w:eastAsia="zh-TW"/>
        </w:rPr>
      </w:pPr>
      <w:r>
        <w:rPr>
          <w:rFonts w:hint="eastAsia" w:ascii="微软雅黑" w:hAnsi="微软雅黑" w:eastAsia="微软雅黑"/>
          <w:b/>
          <w:color w:val="auto"/>
          <w:sz w:val="24"/>
          <w:szCs w:val="24"/>
          <w:u w:val="single"/>
        </w:rPr>
        <w:t>铁路</w:t>
      </w:r>
    </w:p>
    <w:p>
      <w:pPr>
        <w:widowControl/>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成都是中国西部铁路网的中心之一。成都市区内有多个主要客运火车站（成都站、成都东站及成都南站）。乘客在购票时及乘车前需注意其乘坐班次的始发站。</w:t>
      </w:r>
    </w:p>
    <w:p>
      <w:pPr>
        <w:spacing w:line="400" w:lineRule="exact"/>
        <w:rPr>
          <w:rFonts w:ascii="微软雅黑" w:hAnsi="微软雅黑" w:eastAsia="微软雅黑"/>
          <w:color w:val="auto"/>
          <w:sz w:val="24"/>
          <w:szCs w:val="24"/>
        </w:rPr>
      </w:pPr>
    </w:p>
    <w:p>
      <w:pPr>
        <w:widowControl/>
        <w:spacing w:line="360" w:lineRule="exact"/>
        <w:rPr>
          <w:rFonts w:ascii="微软雅黑" w:hAnsi="微软雅黑" w:eastAsia="微软雅黑"/>
          <w:color w:val="auto"/>
          <w:sz w:val="24"/>
          <w:szCs w:val="24"/>
        </w:rPr>
      </w:pPr>
      <w:r>
        <w:rPr>
          <w:rFonts w:hint="eastAsia" w:ascii="微软雅黑" w:hAnsi="微软雅黑" w:eastAsia="微软雅黑"/>
          <w:color w:val="auto"/>
          <w:sz w:val="24"/>
          <w:szCs w:val="24"/>
        </w:rPr>
        <w:t>乘客可透过车站购票、电话购票（购票电话：</w:t>
      </w:r>
      <w:r>
        <w:rPr>
          <w:rFonts w:ascii="微软雅黑" w:hAnsi="微软雅黑" w:eastAsia="微软雅黑"/>
          <w:color w:val="auto"/>
          <w:sz w:val="24"/>
          <w:szCs w:val="24"/>
        </w:rPr>
        <w:t>(028)95105105</w:t>
      </w:r>
      <w:r>
        <w:rPr>
          <w:rFonts w:hint="eastAsia" w:ascii="微软雅黑" w:hAnsi="微软雅黑" w:eastAsia="微软雅黑"/>
          <w:color w:val="auto"/>
          <w:sz w:val="24"/>
          <w:szCs w:val="24"/>
        </w:rPr>
        <w:t>）、网上购票（铁路客户服务中心网站：</w:t>
      </w:r>
      <w:r>
        <w:rPr>
          <w:color w:val="auto"/>
        </w:rPr>
        <w:fldChar w:fldCharType="begin"/>
      </w:r>
      <w:r>
        <w:rPr>
          <w:color w:val="auto"/>
        </w:rPr>
        <w:instrText xml:space="preserve"> HYPERLINK "http://www.12306.cn" </w:instrText>
      </w:r>
      <w:r>
        <w:rPr>
          <w:color w:val="auto"/>
        </w:rPr>
        <w:fldChar w:fldCharType="separate"/>
      </w:r>
      <w:r>
        <w:rPr>
          <w:rFonts w:ascii="微软雅黑" w:hAnsi="微软雅黑" w:eastAsia="微软雅黑"/>
          <w:color w:val="auto"/>
          <w:sz w:val="24"/>
          <w:szCs w:val="24"/>
        </w:rPr>
        <w:t>http://www.12306.cn</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）等方式购买车票。</w:t>
      </w:r>
    </w:p>
    <w:p>
      <w:pPr>
        <w:spacing w:line="360" w:lineRule="exact"/>
        <w:jc w:val="left"/>
        <w:rPr>
          <w:rFonts w:ascii="微软雅黑" w:hAnsi="微软雅黑" w:eastAsia="微软雅黑"/>
          <w:color w:val="auto"/>
          <w:sz w:val="24"/>
          <w:szCs w:val="24"/>
        </w:rPr>
      </w:pPr>
    </w:p>
    <w:p>
      <w:pPr>
        <w:spacing w:line="36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欲了解更详细讯息，可参考中国铁路客户服务中心网站：</w:t>
      </w:r>
      <w:r>
        <w:rPr>
          <w:color w:val="auto"/>
        </w:rPr>
        <w:fldChar w:fldCharType="begin"/>
      </w:r>
      <w:r>
        <w:rPr>
          <w:color w:val="auto"/>
        </w:rPr>
        <w:instrText xml:space="preserve"> HYPERLINK "http://www.12306.cn/mormhweb/" </w:instrText>
      </w:r>
      <w:r>
        <w:rPr>
          <w:color w:val="auto"/>
        </w:rPr>
        <w:fldChar w:fldCharType="separate"/>
      </w:r>
      <w:r>
        <w:rPr>
          <w:rFonts w:ascii="微软雅黑" w:hAnsi="微软雅黑" w:eastAsia="微软雅黑"/>
          <w:color w:val="auto"/>
          <w:sz w:val="24"/>
          <w:szCs w:val="24"/>
        </w:rPr>
        <w:t>http://www.12306.cn/mormhweb</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w:t>
      </w:r>
    </w:p>
    <w:p>
      <w:pPr>
        <w:spacing w:line="360" w:lineRule="exact"/>
        <w:rPr>
          <w:rFonts w:ascii="微软雅黑" w:hAnsi="微软雅黑" w:eastAsia="微软雅黑"/>
          <w:color w:val="auto"/>
          <w:sz w:val="24"/>
          <w:szCs w:val="24"/>
        </w:rPr>
      </w:pPr>
    </w:p>
    <w:p>
      <w:pPr>
        <w:widowControl/>
        <w:jc w:val="left"/>
        <w:rPr>
          <w:rFonts w:ascii="微软雅黑" w:hAnsi="微软雅黑" w:eastAsia="微软雅黑"/>
          <w:color w:val="auto"/>
          <w:sz w:val="24"/>
          <w:szCs w:val="24"/>
        </w:rPr>
      </w:pPr>
      <w:r>
        <w:rPr>
          <w:rFonts w:hint="eastAsia" w:ascii="微软雅黑" w:hAnsi="微软雅黑" w:eastAsia="微软雅黑"/>
          <w:color w:val="auto"/>
          <w:sz w:val="24"/>
          <w:szCs w:val="24"/>
        </w:rPr>
        <w:t>中国铁路总公司在</w:t>
      </w:r>
      <w:r>
        <w:rPr>
          <w:rFonts w:ascii="微软雅黑" w:hAnsi="微软雅黑" w:eastAsia="微软雅黑"/>
          <w:color w:val="auto"/>
          <w:sz w:val="24"/>
          <w:szCs w:val="24"/>
        </w:rPr>
        <w:t>2017</w:t>
      </w:r>
      <w:r>
        <w:rPr>
          <w:rFonts w:hint="eastAsia" w:ascii="微软雅黑" w:hAnsi="微软雅黑" w:eastAsia="微软雅黑"/>
          <w:color w:val="auto"/>
          <w:sz w:val="24"/>
          <w:szCs w:val="24"/>
        </w:rPr>
        <w:t>年６月公布，该公司已在北京、上海、江苏、浙江、福建、山东、湖南、广东、四川、重庆、陕西等流量较大的火车站设置了自动售取票设备</w:t>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lang w:eastAsia="zh-TW"/>
        </w:rPr>
      </w:pPr>
      <w:r>
        <w:rPr>
          <w:rFonts w:hint="eastAsia" w:ascii="微软雅黑" w:hAnsi="微软雅黑" w:eastAsia="微软雅黑"/>
          <w:b/>
          <w:color w:val="auto"/>
          <w:sz w:val="24"/>
          <w:szCs w:val="24"/>
          <w:u w:val="single"/>
        </w:rPr>
        <w:t>航空</w:t>
      </w:r>
    </w:p>
    <w:p>
      <w:pPr>
        <w:spacing w:before="312" w:beforeLines="100"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成都双流国际机场位于成都市双流区，距市中心约</w:t>
      </w:r>
      <w:r>
        <w:rPr>
          <w:rFonts w:ascii="微软雅黑" w:hAnsi="微软雅黑" w:eastAsia="微软雅黑"/>
          <w:color w:val="auto"/>
          <w:sz w:val="24"/>
          <w:szCs w:val="24"/>
        </w:rPr>
        <w:t>16</w:t>
      </w:r>
      <w:r>
        <w:rPr>
          <w:rFonts w:hint="eastAsia" w:ascii="微软雅黑" w:hAnsi="微软雅黑" w:eastAsia="微软雅黑"/>
          <w:color w:val="auto"/>
          <w:sz w:val="24"/>
          <w:szCs w:val="24"/>
        </w:rPr>
        <w:t>公里。机场与市中心有高速公路连接，另设有双流机场火车站</w:t>
      </w:r>
      <w:r>
        <w:rPr>
          <w:rFonts w:ascii="微软雅黑" w:hAnsi="微软雅黑" w:eastAsia="微软雅黑"/>
          <w:color w:val="auto"/>
          <w:sz w:val="24"/>
          <w:szCs w:val="24"/>
        </w:rPr>
        <w:t>、</w:t>
      </w:r>
      <w:r>
        <w:rPr>
          <w:rFonts w:hint="eastAsia" w:ascii="微软雅黑" w:hAnsi="微软雅黑" w:eastAsia="微软雅黑"/>
          <w:color w:val="auto"/>
          <w:sz w:val="24"/>
          <w:szCs w:val="24"/>
        </w:rPr>
        <w:t>通往省内主要城市的长途汽车、直达市区的机场巴士和出租车服务站。目前机场设有</w:t>
      </w:r>
      <w:r>
        <w:rPr>
          <w:rFonts w:ascii="微软雅黑" w:hAnsi="微软雅黑" w:eastAsia="微软雅黑"/>
          <w:color w:val="auto"/>
          <w:sz w:val="24"/>
          <w:szCs w:val="24"/>
        </w:rPr>
        <w:t>T1</w:t>
      </w:r>
      <w:r>
        <w:rPr>
          <w:rFonts w:hint="eastAsia" w:ascii="微软雅黑" w:hAnsi="微软雅黑" w:eastAsia="微软雅黑"/>
          <w:color w:val="auto"/>
          <w:sz w:val="24"/>
          <w:szCs w:val="24"/>
        </w:rPr>
        <w:t>和</w:t>
      </w:r>
      <w:r>
        <w:rPr>
          <w:rFonts w:ascii="微软雅黑" w:hAnsi="微软雅黑" w:eastAsia="微软雅黑"/>
          <w:color w:val="auto"/>
          <w:sz w:val="24"/>
          <w:szCs w:val="24"/>
        </w:rPr>
        <w:t>T2</w:t>
      </w:r>
      <w:r>
        <w:rPr>
          <w:rFonts w:hint="eastAsia" w:ascii="微软雅黑" w:hAnsi="微软雅黑" w:eastAsia="微软雅黑"/>
          <w:color w:val="auto"/>
          <w:sz w:val="24"/>
          <w:szCs w:val="24"/>
        </w:rPr>
        <w:t>两个航站楼：</w:t>
      </w:r>
      <w:r>
        <w:rPr>
          <w:rFonts w:ascii="微软雅黑" w:hAnsi="微软雅黑" w:eastAsia="微软雅黑"/>
          <w:color w:val="auto"/>
          <w:sz w:val="24"/>
          <w:szCs w:val="24"/>
        </w:rPr>
        <w:t>T1</w:t>
      </w:r>
      <w:r>
        <w:rPr>
          <w:rFonts w:hint="eastAsia" w:ascii="微软雅黑" w:hAnsi="微软雅黑" w:eastAsia="微软雅黑"/>
          <w:color w:val="auto"/>
          <w:sz w:val="24"/>
          <w:szCs w:val="24"/>
        </w:rPr>
        <w:t>航站楼负责国际</w:t>
      </w:r>
      <w:r>
        <w:rPr>
          <w:rFonts w:ascii="微软雅黑" w:hAnsi="微软雅黑" w:eastAsia="微软雅黑"/>
          <w:color w:val="auto"/>
          <w:sz w:val="24"/>
          <w:szCs w:val="24"/>
        </w:rPr>
        <w:t>/</w:t>
      </w:r>
      <w:r>
        <w:rPr>
          <w:rFonts w:hint="eastAsia" w:ascii="微软雅黑" w:hAnsi="微软雅黑" w:eastAsia="微软雅黑"/>
          <w:color w:val="auto"/>
          <w:sz w:val="24"/>
          <w:szCs w:val="24"/>
        </w:rPr>
        <w:t>港澳台航班及四川航空公司</w:t>
      </w:r>
      <w:r>
        <w:rPr>
          <w:rFonts w:ascii="微软雅黑" w:hAnsi="微软雅黑" w:eastAsia="微软雅黑"/>
          <w:color w:val="auto"/>
          <w:sz w:val="24"/>
          <w:szCs w:val="24"/>
        </w:rPr>
        <w:t>(3U)</w:t>
      </w:r>
      <w:r>
        <w:rPr>
          <w:rFonts w:hint="eastAsia" w:ascii="微软雅黑" w:hAnsi="微软雅黑" w:eastAsia="微软雅黑"/>
          <w:color w:val="auto"/>
          <w:sz w:val="24"/>
          <w:szCs w:val="24"/>
        </w:rPr>
        <w:t>的所有航班；</w:t>
      </w:r>
      <w:r>
        <w:rPr>
          <w:rFonts w:ascii="微软雅黑" w:hAnsi="微软雅黑" w:eastAsia="微软雅黑"/>
          <w:color w:val="auto"/>
          <w:sz w:val="24"/>
          <w:szCs w:val="24"/>
        </w:rPr>
        <w:t>T2</w:t>
      </w:r>
      <w:r>
        <w:rPr>
          <w:rFonts w:hint="eastAsia" w:ascii="微软雅黑" w:hAnsi="微软雅黑" w:eastAsia="微软雅黑"/>
          <w:color w:val="auto"/>
          <w:sz w:val="24"/>
          <w:szCs w:val="24"/>
        </w:rPr>
        <w:t>航站楼负责除四川航空公司</w:t>
      </w:r>
      <w:r>
        <w:rPr>
          <w:rFonts w:ascii="微软雅黑" w:hAnsi="微软雅黑" w:eastAsia="微软雅黑"/>
          <w:color w:val="auto"/>
          <w:sz w:val="24"/>
          <w:szCs w:val="24"/>
        </w:rPr>
        <w:t>(3U)</w:t>
      </w:r>
      <w:r>
        <w:rPr>
          <w:rFonts w:hint="eastAsia" w:ascii="微软雅黑" w:hAnsi="微软雅黑" w:eastAsia="微软雅黑"/>
          <w:color w:val="auto"/>
          <w:sz w:val="24"/>
          <w:szCs w:val="24"/>
        </w:rPr>
        <w:t>外的所有内地航班。成都</w:t>
      </w:r>
      <w:r>
        <w:rPr>
          <w:rFonts w:ascii="微软雅黑" w:hAnsi="微软雅黑" w:eastAsia="微软雅黑"/>
          <w:color w:val="auto"/>
          <w:sz w:val="24"/>
          <w:szCs w:val="24"/>
        </w:rPr>
        <w:t>双流国际机场国内出发航班的乘机手续停办时间为航班起飞前</w:t>
      </w:r>
      <w:r>
        <w:rPr>
          <w:rFonts w:hint="eastAsia" w:ascii="微软雅黑" w:hAnsi="微软雅黑" w:eastAsia="微软雅黑"/>
          <w:color w:val="auto"/>
          <w:sz w:val="24"/>
          <w:szCs w:val="24"/>
        </w:rPr>
        <w:t>45分钟</w:t>
      </w:r>
      <w:r>
        <w:rPr>
          <w:rFonts w:ascii="微软雅黑" w:hAnsi="微软雅黑" w:eastAsia="微软雅黑"/>
          <w:color w:val="auto"/>
          <w:sz w:val="24"/>
          <w:szCs w:val="24"/>
        </w:rPr>
        <w:t>。</w:t>
      </w:r>
      <w:r>
        <w:rPr>
          <w:rFonts w:hint="eastAsia" w:ascii="微软雅黑" w:hAnsi="微软雅黑" w:eastAsia="微软雅黑"/>
          <w:color w:val="auto"/>
          <w:sz w:val="24"/>
          <w:szCs w:val="24"/>
        </w:rPr>
        <w:t>欲了解更详细讯息，可参考成都双流国际机场网站（</w:t>
      </w:r>
      <w:r>
        <w:rPr>
          <w:color w:val="auto"/>
        </w:rPr>
        <w:fldChar w:fldCharType="begin"/>
      </w:r>
      <w:r>
        <w:rPr>
          <w:color w:val="auto"/>
        </w:rPr>
        <w:instrText xml:space="preserve"> HYPERLINK "http://www.cdairport.com" </w:instrText>
      </w:r>
      <w:r>
        <w:rPr>
          <w:color w:val="auto"/>
        </w:rPr>
        <w:fldChar w:fldCharType="separate"/>
      </w:r>
      <w:r>
        <w:rPr>
          <w:rFonts w:ascii="微软雅黑" w:hAnsi="微软雅黑" w:eastAsia="微软雅黑"/>
          <w:color w:val="auto"/>
          <w:sz w:val="24"/>
          <w:szCs w:val="24"/>
        </w:rPr>
        <w:t>http://www.cdairport.com</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），咨询电话</w:t>
      </w:r>
      <w:r>
        <w:rPr>
          <w:rFonts w:ascii="微软雅黑" w:hAnsi="微软雅黑" w:eastAsia="微软雅黑"/>
          <w:color w:val="auto"/>
          <w:sz w:val="24"/>
          <w:szCs w:val="24"/>
        </w:rPr>
        <w:t>(028)85205555</w:t>
      </w:r>
      <w:r>
        <w:rPr>
          <w:rFonts w:hint="eastAsia" w:ascii="微软雅黑" w:hAnsi="微软雅黑" w:eastAsia="微软雅黑"/>
          <w:color w:val="auto"/>
          <w:sz w:val="24"/>
          <w:szCs w:val="24"/>
        </w:rPr>
        <w:t>。</w:t>
      </w:r>
    </w:p>
    <w:p>
      <w:pPr>
        <w:pStyle w:val="28"/>
        <w:numPr>
          <w:ilvl w:val="0"/>
          <w:numId w:val="4"/>
        </w:numPr>
        <w:spacing w:before="312" w:beforeLines="100" w:line="400" w:lineRule="exact"/>
        <w:ind w:left="480" w:hanging="480" w:hangingChars="200"/>
        <w:rPr>
          <w:rFonts w:ascii="微软雅黑" w:hAnsi="微软雅黑" w:eastAsia="微软雅黑"/>
          <w:b/>
          <w:color w:val="auto"/>
          <w:sz w:val="24"/>
          <w:szCs w:val="24"/>
          <w:u w:val="single"/>
          <w:lang w:eastAsia="zh-TW"/>
        </w:rPr>
      </w:pPr>
      <w:r>
        <w:rPr>
          <w:rFonts w:hint="eastAsia" w:ascii="微软雅黑" w:hAnsi="微软雅黑" w:eastAsia="微软雅黑"/>
          <w:b/>
          <w:color w:val="auto"/>
          <w:sz w:val="24"/>
          <w:szCs w:val="24"/>
          <w:u w:val="single"/>
        </w:rPr>
        <w:t>机动车限行交通管理措施</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根据《成都市车辆尾号限行规定》及《成都市公安局交通管理局关于继续实施二三环路之间区域汽车尾号限行交通管理措施的通告》：所有「川</w:t>
      </w:r>
      <w:r>
        <w:rPr>
          <w:rFonts w:ascii="微软雅黑" w:hAnsi="微软雅黑" w:eastAsia="微软雅黑"/>
          <w:color w:val="auto"/>
          <w:sz w:val="24"/>
          <w:szCs w:val="24"/>
        </w:rPr>
        <w:t>A</w:t>
      </w:r>
      <w:r>
        <w:rPr>
          <w:rFonts w:hint="eastAsia" w:ascii="微软雅黑" w:hAnsi="微软雅黑" w:eastAsia="微软雅黑"/>
          <w:color w:val="auto"/>
          <w:sz w:val="24"/>
          <w:szCs w:val="24"/>
        </w:rPr>
        <w:t>」及外地籍号牌汽车需遵循限行时间、区域和规则等要求。</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另外，根据《关于空气重污染期间实施临时交通管理措施的通告》：为缓解大气污染，保护公众身体健康，依据《中华人民共和国道路交通安全法》、《四川省〈中华人民共和国大气污染防治法〉实施办法》、《成都市重污染天气应急预案（</w:t>
      </w:r>
      <w:r>
        <w:rPr>
          <w:rFonts w:ascii="微软雅黑" w:hAnsi="微软雅黑" w:eastAsia="微软雅黑"/>
          <w:color w:val="auto"/>
          <w:sz w:val="24"/>
          <w:szCs w:val="24"/>
        </w:rPr>
        <w:t>2017</w:t>
      </w:r>
      <w:r>
        <w:rPr>
          <w:rFonts w:hint="eastAsia" w:ascii="微软雅黑" w:hAnsi="微软雅黑" w:eastAsia="微软雅黑"/>
          <w:color w:val="auto"/>
          <w:sz w:val="24"/>
          <w:szCs w:val="24"/>
        </w:rPr>
        <w:t>年修订）》等规定，根据重污染天气的预警级别，自预警公布次日零时起，至预警结束次日零时止，在成都市行政区域道路对应实施机动车临时交通管理措施。</w:t>
      </w:r>
    </w:p>
    <w:p>
      <w:pPr>
        <w:spacing w:line="400" w:lineRule="exact"/>
        <w:rPr>
          <w:rFonts w:ascii="微软雅黑" w:hAnsi="微软雅黑" w:eastAsia="微软雅黑"/>
          <w:color w:val="auto"/>
          <w:sz w:val="24"/>
          <w:szCs w:val="24"/>
        </w:rPr>
      </w:pPr>
    </w:p>
    <w:p>
      <w:pPr>
        <w:spacing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具体限行要求可在成都市公安局交通管理局车辆管理所网站（</w:t>
      </w:r>
      <w:r>
        <w:rPr>
          <w:color w:val="auto"/>
        </w:rPr>
        <w:fldChar w:fldCharType="begin"/>
      </w:r>
      <w:r>
        <w:rPr>
          <w:color w:val="auto"/>
        </w:rPr>
        <w:instrText xml:space="preserve"> HYPERLINK "http://www.gaj.chengdu.gov.cn" </w:instrText>
      </w:r>
      <w:r>
        <w:rPr>
          <w:color w:val="auto"/>
        </w:rPr>
        <w:fldChar w:fldCharType="separate"/>
      </w:r>
      <w:r>
        <w:rPr>
          <w:rFonts w:ascii="微软雅黑" w:hAnsi="微软雅黑" w:eastAsia="微软雅黑"/>
          <w:color w:val="auto"/>
          <w:sz w:val="24"/>
          <w:szCs w:val="24"/>
        </w:rPr>
        <w:t>http://www.gaj.chengdu.gov.cn</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）查询。</w:t>
      </w:r>
    </w:p>
    <w:p>
      <w:pPr>
        <w:pStyle w:val="28"/>
        <w:numPr>
          <w:ilvl w:val="0"/>
          <w:numId w:val="4"/>
        </w:numPr>
        <w:spacing w:before="312" w:beforeLines="100" w:line="400" w:lineRule="exact"/>
        <w:ind w:left="480" w:hanging="480" w:hangingChars="200"/>
        <w:rPr>
          <w:rFonts w:ascii="微软雅黑" w:hAnsi="微软雅黑" w:eastAsia="微软雅黑"/>
          <w:b/>
          <w:color w:val="auto"/>
          <w:sz w:val="24"/>
          <w:szCs w:val="24"/>
          <w:u w:val="single"/>
        </w:rPr>
      </w:pPr>
      <w:r>
        <w:rPr>
          <w:rFonts w:hint="eastAsia" w:ascii="微软雅黑" w:hAnsi="微软雅黑" w:eastAsia="微软雅黑"/>
          <w:b/>
          <w:color w:val="auto"/>
          <w:sz w:val="24"/>
          <w:szCs w:val="24"/>
          <w:u w:val="single"/>
        </w:rPr>
        <w:t>自驾游须慎防意外</w:t>
      </w:r>
    </w:p>
    <w:p>
      <w:pPr>
        <w:widowControl/>
        <w:numPr>
          <w:ilvl w:val="0"/>
          <w:numId w:val="6"/>
        </w:numPr>
        <w:autoSpaceDE w:val="0"/>
        <w:autoSpaceDN w:val="0"/>
        <w:adjustRightInd w:val="0"/>
        <w:spacing w:before="312" w:beforeLines="100" w:line="400" w:lineRule="exact"/>
        <w:ind w:left="418" w:hanging="418"/>
        <w:jc w:val="left"/>
        <w:rPr>
          <w:rFonts w:ascii="微软雅黑" w:hAnsi="微软雅黑" w:eastAsia="微软雅黑" w:cs="......."/>
          <w:color w:val="auto"/>
          <w:kern w:val="0"/>
          <w:sz w:val="24"/>
          <w:szCs w:val="24"/>
          <w:lang w:eastAsia="zh-TW"/>
        </w:rPr>
      </w:pPr>
      <w:r>
        <w:rPr>
          <w:rFonts w:hint="eastAsia" w:ascii="微软雅黑" w:hAnsi="微软雅黑" w:eastAsia="微软雅黑" w:cs="......."/>
          <w:color w:val="auto"/>
          <w:sz w:val="24"/>
          <w:szCs w:val="24"/>
        </w:rPr>
        <w:t>自</w:t>
      </w:r>
      <w:r>
        <w:rPr>
          <w:rFonts w:hint="cs" w:ascii="微软雅黑" w:hAnsi="微软雅黑" w:eastAsia="微软雅黑" w:cs="......."/>
          <w:color w:val="auto"/>
          <w:sz w:val="24"/>
          <w:szCs w:val="24"/>
        </w:rPr>
        <w:t>驾</w:t>
      </w:r>
      <w:r>
        <w:rPr>
          <w:rFonts w:hint="eastAsia" w:ascii="微软雅黑" w:hAnsi="微软雅黑" w:eastAsia="微软雅黑" w:cs="......."/>
          <w:color w:val="auto"/>
          <w:sz w:val="24"/>
          <w:szCs w:val="24"/>
        </w:rPr>
        <w:t>游（包括</w:t>
      </w:r>
      <w:r>
        <w:rPr>
          <w:rFonts w:hint="cs" w:ascii="微软雅黑" w:hAnsi="微软雅黑" w:eastAsia="微软雅黑" w:cs="......."/>
          <w:color w:val="auto"/>
          <w:sz w:val="24"/>
          <w:szCs w:val="24"/>
        </w:rPr>
        <w:t>单车骑</w:t>
      </w:r>
      <w:r>
        <w:rPr>
          <w:rFonts w:hint="eastAsia" w:ascii="微软雅黑" w:hAnsi="微软雅黑" w:eastAsia="微软雅黑" w:cs="......."/>
          <w:color w:val="auto"/>
          <w:sz w:val="24"/>
          <w:szCs w:val="24"/>
        </w:rPr>
        <w:t>游）游客</w:t>
      </w:r>
      <w:r>
        <w:rPr>
          <w:rFonts w:hint="cs" w:ascii="微软雅黑" w:hAnsi="微软雅黑" w:eastAsia="微软雅黑" w:cs="......."/>
          <w:color w:val="auto"/>
          <w:sz w:val="24"/>
          <w:szCs w:val="24"/>
        </w:rPr>
        <w:t>应</w:t>
      </w:r>
      <w:r>
        <w:rPr>
          <w:rFonts w:hint="eastAsia" w:ascii="微软雅黑" w:hAnsi="微软雅黑" w:eastAsia="微软雅黑" w:cs="......."/>
          <w:color w:val="auto"/>
          <w:sz w:val="24"/>
          <w:szCs w:val="24"/>
        </w:rPr>
        <w:t>多人或多</w:t>
      </w:r>
      <w:r>
        <w:rPr>
          <w:rFonts w:hint="cs" w:ascii="微软雅黑" w:hAnsi="微软雅黑" w:eastAsia="微软雅黑" w:cs="......."/>
          <w:color w:val="auto"/>
          <w:sz w:val="24"/>
          <w:szCs w:val="24"/>
        </w:rPr>
        <w:t>车结</w:t>
      </w:r>
      <w:r>
        <w:rPr>
          <w:rFonts w:hint="eastAsia" w:ascii="微软雅黑" w:hAnsi="微软雅黑" w:eastAsia="微软雅黑" w:cs="......."/>
          <w:color w:val="auto"/>
          <w:sz w:val="24"/>
          <w:szCs w:val="24"/>
        </w:rPr>
        <w:t>伴而行，</w:t>
      </w:r>
      <w:r>
        <w:rPr>
          <w:rFonts w:hint="cs" w:ascii="微软雅黑" w:hAnsi="微软雅黑" w:eastAsia="微软雅黑" w:cs="......."/>
          <w:color w:val="auto"/>
          <w:sz w:val="24"/>
          <w:szCs w:val="24"/>
        </w:rPr>
        <w:t>这样</w:t>
      </w:r>
      <w:r>
        <w:rPr>
          <w:rFonts w:hint="eastAsia" w:ascii="微软雅黑" w:hAnsi="微软雅黑" w:eastAsia="微软雅黑" w:cs="......."/>
          <w:color w:val="auto"/>
          <w:sz w:val="24"/>
          <w:szCs w:val="24"/>
        </w:rPr>
        <w:t>可互相照</w:t>
      </w:r>
      <w:r>
        <w:rPr>
          <w:rFonts w:hint="cs" w:ascii="微软雅黑" w:hAnsi="微软雅黑" w:eastAsia="微软雅黑" w:cs="......."/>
          <w:color w:val="auto"/>
          <w:sz w:val="24"/>
          <w:szCs w:val="24"/>
        </w:rPr>
        <w:t>应</w:t>
      </w:r>
      <w:r>
        <w:rPr>
          <w:rFonts w:hint="eastAsia" w:ascii="微软雅黑" w:hAnsi="微软雅黑" w:eastAsia="微软雅黑" w:cs="......."/>
          <w:color w:val="auto"/>
          <w:sz w:val="24"/>
          <w:szCs w:val="24"/>
        </w:rPr>
        <w:t>。准</w:t>
      </w:r>
      <w:r>
        <w:rPr>
          <w:rFonts w:hint="cs" w:ascii="微软雅黑" w:hAnsi="微软雅黑" w:eastAsia="微软雅黑" w:cs="......."/>
          <w:color w:val="auto"/>
          <w:sz w:val="24"/>
          <w:szCs w:val="24"/>
        </w:rPr>
        <w:t>备</w:t>
      </w:r>
      <w:r>
        <w:rPr>
          <w:rFonts w:hint="eastAsia" w:ascii="微软雅黑" w:hAnsi="微软雅黑" w:eastAsia="微软雅黑" w:cs="......."/>
          <w:color w:val="auto"/>
          <w:sz w:val="24"/>
          <w:szCs w:val="24"/>
        </w:rPr>
        <w:t>足</w:t>
      </w:r>
      <w:r>
        <w:rPr>
          <w:rFonts w:hint="cs" w:ascii="微软雅黑" w:hAnsi="微软雅黑" w:eastAsia="微软雅黑" w:cs="......."/>
          <w:color w:val="auto"/>
          <w:sz w:val="24"/>
          <w:szCs w:val="24"/>
        </w:rPr>
        <w:t>够</w:t>
      </w:r>
      <w:r>
        <w:rPr>
          <w:rFonts w:hint="eastAsia" w:ascii="微软雅黑" w:hAnsi="微软雅黑" w:eastAsia="微软雅黑" w:cs="......."/>
          <w:color w:val="auto"/>
          <w:sz w:val="24"/>
          <w:szCs w:val="24"/>
        </w:rPr>
        <w:t>通</w:t>
      </w:r>
      <w:r>
        <w:rPr>
          <w:rFonts w:hint="cs" w:ascii="微软雅黑" w:hAnsi="微软雅黑" w:eastAsia="微软雅黑" w:cs="......."/>
          <w:color w:val="auto"/>
          <w:sz w:val="24"/>
          <w:szCs w:val="24"/>
        </w:rPr>
        <w:t>讯设备</w:t>
      </w:r>
      <w:r>
        <w:rPr>
          <w:rFonts w:hint="eastAsia" w:ascii="微软雅黑" w:hAnsi="微软雅黑" w:eastAsia="微软雅黑" w:cs="......."/>
          <w:color w:val="auto"/>
          <w:sz w:val="24"/>
          <w:szCs w:val="24"/>
        </w:rPr>
        <w:t>，遇到困</w:t>
      </w:r>
      <w:r>
        <w:rPr>
          <w:rFonts w:hint="cs" w:ascii="微软雅黑" w:hAnsi="微软雅黑" w:eastAsia="微软雅黑" w:cs="......."/>
          <w:color w:val="auto"/>
          <w:sz w:val="24"/>
          <w:szCs w:val="24"/>
        </w:rPr>
        <w:t>难时</w:t>
      </w:r>
      <w:r>
        <w:rPr>
          <w:rFonts w:hint="eastAsia" w:ascii="微软雅黑" w:hAnsi="微软雅黑" w:eastAsia="微软雅黑" w:cs="......."/>
          <w:color w:val="auto"/>
          <w:sz w:val="24"/>
          <w:szCs w:val="24"/>
        </w:rPr>
        <w:t>可及</w:t>
      </w:r>
      <w:r>
        <w:rPr>
          <w:rFonts w:hint="cs" w:ascii="微软雅黑" w:hAnsi="微软雅黑" w:eastAsia="微软雅黑" w:cs="......."/>
          <w:color w:val="auto"/>
          <w:sz w:val="24"/>
          <w:szCs w:val="24"/>
        </w:rPr>
        <w:t>时寻</w:t>
      </w:r>
      <w:r>
        <w:rPr>
          <w:rFonts w:hint="eastAsia" w:ascii="微软雅黑" w:hAnsi="微软雅黑" w:eastAsia="微软雅黑" w:cs="......."/>
          <w:color w:val="auto"/>
          <w:sz w:val="24"/>
          <w:szCs w:val="24"/>
        </w:rPr>
        <w:t>求</w:t>
      </w:r>
      <w:r>
        <w:rPr>
          <w:rFonts w:hint="cs" w:ascii="微软雅黑" w:hAnsi="微软雅黑" w:eastAsia="微软雅黑" w:cs="......."/>
          <w:color w:val="auto"/>
          <w:sz w:val="24"/>
          <w:szCs w:val="24"/>
        </w:rPr>
        <w:t>协</w:t>
      </w:r>
      <w:r>
        <w:rPr>
          <w:rFonts w:hint="eastAsia" w:ascii="微软雅黑" w:hAnsi="微软雅黑" w:eastAsia="微软雅黑" w:cs="......."/>
          <w:color w:val="auto"/>
          <w:sz w:val="24"/>
          <w:szCs w:val="24"/>
        </w:rPr>
        <w:t>助；</w:t>
      </w:r>
    </w:p>
    <w:p>
      <w:pPr>
        <w:widowControl/>
        <w:numPr>
          <w:ilvl w:val="0"/>
          <w:numId w:val="6"/>
        </w:numPr>
        <w:autoSpaceDE w:val="0"/>
        <w:autoSpaceDN w:val="0"/>
        <w:adjustRightInd w:val="0"/>
        <w:spacing w:after="100" w:afterAutospacing="1" w:line="400" w:lineRule="exact"/>
        <w:jc w:val="left"/>
        <w:rPr>
          <w:rFonts w:ascii="微软雅黑" w:hAnsi="微软雅黑" w:eastAsia="微软雅黑" w:cs="......."/>
          <w:color w:val="auto"/>
          <w:kern w:val="0"/>
          <w:sz w:val="24"/>
          <w:szCs w:val="24"/>
          <w:lang w:eastAsia="zh-TW"/>
        </w:rPr>
      </w:pPr>
      <w:r>
        <w:rPr>
          <w:rFonts w:hint="eastAsia" w:ascii="微软雅黑" w:hAnsi="微软雅黑" w:eastAsia="微软雅黑" w:cs="......."/>
          <w:color w:val="auto"/>
          <w:sz w:val="24"/>
          <w:szCs w:val="24"/>
        </w:rPr>
        <w:t>由于外地游客不</w:t>
      </w:r>
      <w:r>
        <w:rPr>
          <w:rFonts w:hint="cs" w:ascii="微软雅黑" w:hAnsi="微软雅黑" w:eastAsia="微软雅黑" w:cs="......."/>
          <w:color w:val="auto"/>
          <w:sz w:val="24"/>
          <w:szCs w:val="24"/>
        </w:rPr>
        <w:t>谙</w:t>
      </w:r>
      <w:r>
        <w:rPr>
          <w:rFonts w:hint="eastAsia" w:ascii="微软雅黑" w:hAnsi="微软雅黑" w:eastAsia="微软雅黑" w:cs="......."/>
          <w:color w:val="auto"/>
          <w:sz w:val="24"/>
          <w:szCs w:val="24"/>
        </w:rPr>
        <w:t>路</w:t>
      </w:r>
      <w:r>
        <w:rPr>
          <w:rFonts w:hint="cs" w:ascii="微软雅黑" w:hAnsi="微软雅黑" w:eastAsia="微软雅黑" w:cs="......."/>
          <w:color w:val="auto"/>
          <w:sz w:val="24"/>
          <w:szCs w:val="24"/>
        </w:rPr>
        <w:t>况</w:t>
      </w:r>
      <w:r>
        <w:rPr>
          <w:rFonts w:hint="eastAsia" w:ascii="微软雅黑" w:hAnsi="微软雅黑" w:eastAsia="微软雅黑" w:cs="......."/>
          <w:color w:val="auto"/>
          <w:sz w:val="24"/>
          <w:szCs w:val="24"/>
        </w:rPr>
        <w:t>，稍有不慎，容易</w:t>
      </w:r>
      <w:r>
        <w:rPr>
          <w:rFonts w:hint="cs" w:ascii="微软雅黑" w:hAnsi="微软雅黑" w:eastAsia="微软雅黑" w:cs="......."/>
          <w:color w:val="auto"/>
          <w:sz w:val="24"/>
          <w:szCs w:val="24"/>
        </w:rPr>
        <w:t>发</w:t>
      </w:r>
      <w:r>
        <w:rPr>
          <w:rFonts w:hint="eastAsia" w:ascii="微软雅黑" w:hAnsi="微软雅黑" w:eastAsia="微软雅黑" w:cs="......."/>
          <w:color w:val="auto"/>
          <w:sz w:val="24"/>
          <w:szCs w:val="24"/>
        </w:rPr>
        <w:t>生意外，因此自</w:t>
      </w:r>
      <w:r>
        <w:rPr>
          <w:rFonts w:hint="cs" w:ascii="微软雅黑" w:hAnsi="微软雅黑" w:eastAsia="微软雅黑" w:cs="......."/>
          <w:color w:val="auto"/>
          <w:sz w:val="24"/>
          <w:szCs w:val="24"/>
        </w:rPr>
        <w:t>驾</w:t>
      </w:r>
      <w:r>
        <w:rPr>
          <w:rFonts w:hint="eastAsia" w:ascii="微软雅黑" w:hAnsi="微软雅黑" w:eastAsia="微软雅黑" w:cs="......."/>
          <w:color w:val="auto"/>
          <w:sz w:val="24"/>
          <w:szCs w:val="24"/>
        </w:rPr>
        <w:t>游客的</w:t>
      </w:r>
      <w:r>
        <w:rPr>
          <w:rFonts w:hint="cs" w:ascii="微软雅黑" w:hAnsi="微软雅黑" w:eastAsia="微软雅黑" w:cs="......."/>
          <w:color w:val="auto"/>
          <w:sz w:val="24"/>
          <w:szCs w:val="24"/>
        </w:rPr>
        <w:t>驾驶</w:t>
      </w:r>
      <w:r>
        <w:rPr>
          <w:rFonts w:hint="eastAsia" w:ascii="微软雅黑" w:hAnsi="微软雅黑" w:eastAsia="微软雅黑" w:cs="......."/>
          <w:color w:val="auto"/>
          <w:sz w:val="24"/>
          <w:szCs w:val="24"/>
        </w:rPr>
        <w:t>技</w:t>
      </w:r>
      <w:r>
        <w:rPr>
          <w:rFonts w:hint="cs" w:ascii="微软雅黑" w:hAnsi="微软雅黑" w:eastAsia="微软雅黑" w:cs="......."/>
          <w:color w:val="auto"/>
          <w:sz w:val="24"/>
          <w:szCs w:val="24"/>
        </w:rPr>
        <w:t>术</w:t>
      </w:r>
      <w:r>
        <w:rPr>
          <w:rFonts w:hint="eastAsia" w:ascii="微软雅黑" w:hAnsi="微软雅黑" w:eastAsia="微软雅黑" w:cs="......."/>
          <w:color w:val="auto"/>
          <w:sz w:val="24"/>
          <w:szCs w:val="24"/>
        </w:rPr>
        <w:t>和汽</w:t>
      </w:r>
      <w:r>
        <w:rPr>
          <w:rFonts w:hint="cs" w:ascii="微软雅黑" w:hAnsi="微软雅黑" w:eastAsia="微软雅黑" w:cs="......."/>
          <w:color w:val="auto"/>
          <w:sz w:val="24"/>
          <w:szCs w:val="24"/>
        </w:rPr>
        <w:t>车状况</w:t>
      </w:r>
      <w:r>
        <w:rPr>
          <w:rFonts w:hint="eastAsia" w:ascii="微软雅黑" w:hAnsi="微软雅黑" w:eastAsia="微软雅黑" w:cs="......."/>
          <w:color w:val="auto"/>
          <w:sz w:val="24"/>
          <w:szCs w:val="24"/>
        </w:rPr>
        <w:t>必</w:t>
      </w:r>
      <w:r>
        <w:rPr>
          <w:rFonts w:hint="cs" w:ascii="微软雅黑" w:hAnsi="微软雅黑" w:eastAsia="微软雅黑" w:cs="......."/>
          <w:color w:val="auto"/>
          <w:sz w:val="24"/>
          <w:szCs w:val="24"/>
        </w:rPr>
        <w:t>须</w:t>
      </w:r>
      <w:r>
        <w:rPr>
          <w:rFonts w:hint="eastAsia" w:ascii="微软雅黑" w:hAnsi="微软雅黑" w:eastAsia="微软雅黑" w:cs="......."/>
          <w:color w:val="auto"/>
          <w:sz w:val="24"/>
          <w:szCs w:val="24"/>
        </w:rPr>
        <w:t>良好；</w:t>
      </w:r>
    </w:p>
    <w:p>
      <w:pPr>
        <w:widowControl/>
        <w:numPr>
          <w:ilvl w:val="0"/>
          <w:numId w:val="6"/>
        </w:numPr>
        <w:autoSpaceDE w:val="0"/>
        <w:autoSpaceDN w:val="0"/>
        <w:adjustRightInd w:val="0"/>
        <w:spacing w:after="100" w:afterAutospacing="1" w:line="400" w:lineRule="exact"/>
        <w:jc w:val="left"/>
        <w:rPr>
          <w:rFonts w:ascii="微软雅黑" w:hAnsi="微软雅黑" w:eastAsia="微软雅黑" w:cs="......."/>
          <w:color w:val="auto"/>
          <w:kern w:val="0"/>
          <w:sz w:val="24"/>
          <w:szCs w:val="24"/>
          <w:lang w:eastAsia="zh-TW"/>
        </w:rPr>
      </w:pPr>
      <w:r>
        <w:rPr>
          <w:rFonts w:hint="eastAsia" w:ascii="微软雅黑" w:hAnsi="微软雅黑" w:eastAsia="微软雅黑" w:cs="......."/>
          <w:color w:val="auto"/>
          <w:sz w:val="24"/>
          <w:szCs w:val="24"/>
        </w:rPr>
        <w:t>必</w:t>
      </w:r>
      <w:r>
        <w:rPr>
          <w:rFonts w:hint="cs" w:ascii="微软雅黑" w:hAnsi="微软雅黑" w:eastAsia="微软雅黑" w:cs="......."/>
          <w:color w:val="auto"/>
          <w:sz w:val="24"/>
          <w:szCs w:val="24"/>
        </w:rPr>
        <w:t>须</w:t>
      </w:r>
      <w:r>
        <w:rPr>
          <w:rFonts w:hint="eastAsia" w:ascii="微软雅黑" w:hAnsi="微软雅黑" w:eastAsia="微软雅黑" w:cs="......."/>
          <w:color w:val="auto"/>
          <w:sz w:val="24"/>
          <w:szCs w:val="24"/>
        </w:rPr>
        <w:t>遵守交通</w:t>
      </w:r>
      <w:r>
        <w:rPr>
          <w:rFonts w:hint="cs" w:ascii="微软雅黑" w:hAnsi="微软雅黑" w:eastAsia="微软雅黑" w:cs="......."/>
          <w:color w:val="auto"/>
          <w:sz w:val="24"/>
          <w:szCs w:val="24"/>
        </w:rPr>
        <w:t>规则</w:t>
      </w:r>
      <w:r>
        <w:rPr>
          <w:rFonts w:hint="eastAsia" w:ascii="微软雅黑" w:hAnsi="微软雅黑" w:eastAsia="微软雅黑" w:cs="......."/>
          <w:color w:val="auto"/>
          <w:sz w:val="24"/>
          <w:szCs w:val="24"/>
        </w:rPr>
        <w:t>及察看道路安全警示牌，避免疲</w:t>
      </w:r>
      <w:r>
        <w:rPr>
          <w:rFonts w:hint="cs" w:ascii="微软雅黑" w:hAnsi="微软雅黑" w:eastAsia="微软雅黑" w:cs="......."/>
          <w:color w:val="auto"/>
          <w:sz w:val="24"/>
          <w:szCs w:val="24"/>
        </w:rPr>
        <w:t>劳驾驶</w:t>
      </w:r>
      <w:r>
        <w:rPr>
          <w:rFonts w:hint="eastAsia" w:ascii="微软雅黑" w:hAnsi="微软雅黑" w:eastAsia="微软雅黑" w:cs="......."/>
          <w:color w:val="auto"/>
          <w:sz w:val="24"/>
          <w:szCs w:val="24"/>
        </w:rPr>
        <w:t>；</w:t>
      </w:r>
    </w:p>
    <w:p>
      <w:pPr>
        <w:widowControl/>
        <w:numPr>
          <w:ilvl w:val="0"/>
          <w:numId w:val="6"/>
        </w:numPr>
        <w:autoSpaceDE w:val="0"/>
        <w:autoSpaceDN w:val="0"/>
        <w:adjustRightInd w:val="0"/>
        <w:spacing w:after="100" w:afterAutospacing="1" w:line="400" w:lineRule="exact"/>
        <w:jc w:val="left"/>
        <w:rPr>
          <w:rFonts w:ascii="微软雅黑" w:hAnsi="微软雅黑" w:eastAsia="微软雅黑" w:cs="......."/>
          <w:color w:val="auto"/>
          <w:kern w:val="0"/>
          <w:sz w:val="24"/>
          <w:szCs w:val="24"/>
          <w:lang w:eastAsia="zh-TW"/>
        </w:rPr>
      </w:pPr>
      <w:r>
        <w:rPr>
          <w:rFonts w:hint="eastAsia" w:ascii="微软雅黑" w:hAnsi="微软雅黑" w:eastAsia="微软雅黑" w:cs="......."/>
          <w:color w:val="auto"/>
          <w:sz w:val="24"/>
          <w:szCs w:val="24"/>
        </w:rPr>
        <w:t>市外道路</w:t>
      </w:r>
      <w:r>
        <w:rPr>
          <w:rFonts w:hint="cs" w:ascii="微软雅黑" w:hAnsi="微软雅黑" w:eastAsia="微软雅黑" w:cs="......."/>
          <w:color w:val="auto"/>
          <w:sz w:val="24"/>
          <w:szCs w:val="24"/>
        </w:rPr>
        <w:t>弯</w:t>
      </w:r>
      <w:r>
        <w:rPr>
          <w:rFonts w:hint="eastAsia" w:ascii="微软雅黑" w:hAnsi="微软雅黑" w:eastAsia="微软雅黑" w:cs="......."/>
          <w:color w:val="auto"/>
          <w:sz w:val="24"/>
          <w:szCs w:val="24"/>
        </w:rPr>
        <w:t>路</w:t>
      </w:r>
      <w:r>
        <w:rPr>
          <w:rFonts w:hint="cs" w:ascii="微软雅黑" w:hAnsi="微软雅黑" w:eastAsia="微软雅黑" w:cs="......."/>
          <w:color w:val="auto"/>
          <w:sz w:val="24"/>
          <w:szCs w:val="24"/>
        </w:rPr>
        <w:t>较</w:t>
      </w:r>
      <w:r>
        <w:rPr>
          <w:rFonts w:hint="eastAsia" w:ascii="微软雅黑" w:hAnsi="微软雅黑" w:eastAsia="微软雅黑" w:cs="......."/>
          <w:color w:val="auto"/>
          <w:sz w:val="24"/>
          <w:szCs w:val="24"/>
        </w:rPr>
        <w:t>多，</w:t>
      </w:r>
      <w:r>
        <w:rPr>
          <w:rFonts w:hint="cs" w:ascii="微软雅黑" w:hAnsi="微软雅黑" w:eastAsia="微软雅黑" w:cs="......."/>
          <w:color w:val="auto"/>
          <w:sz w:val="24"/>
          <w:szCs w:val="24"/>
        </w:rPr>
        <w:t>车</w:t>
      </w:r>
      <w:r>
        <w:rPr>
          <w:rFonts w:hint="eastAsia" w:ascii="微软雅黑" w:hAnsi="微软雅黑" w:eastAsia="微软雅黑" w:cs="......."/>
          <w:color w:val="auto"/>
          <w:sz w:val="24"/>
          <w:szCs w:val="24"/>
        </w:rPr>
        <w:t>速要</w:t>
      </w:r>
      <w:r>
        <w:rPr>
          <w:rFonts w:hint="cs" w:ascii="微软雅黑" w:hAnsi="微软雅黑" w:eastAsia="微软雅黑" w:cs="......."/>
          <w:color w:val="auto"/>
          <w:sz w:val="24"/>
          <w:szCs w:val="24"/>
        </w:rPr>
        <w:t>减</w:t>
      </w:r>
      <w:r>
        <w:rPr>
          <w:rFonts w:hint="eastAsia" w:ascii="微软雅黑" w:hAnsi="微软雅黑" w:eastAsia="微软雅黑" w:cs="......."/>
          <w:color w:val="auto"/>
          <w:sz w:val="24"/>
          <w:szCs w:val="24"/>
        </w:rPr>
        <w:t>慢，注意前方</w:t>
      </w:r>
      <w:r>
        <w:rPr>
          <w:rFonts w:hint="cs" w:ascii="微软雅黑" w:hAnsi="微软雅黑" w:eastAsia="微软雅黑" w:cs="......."/>
          <w:color w:val="auto"/>
          <w:sz w:val="24"/>
          <w:szCs w:val="24"/>
        </w:rPr>
        <w:t>来车</w:t>
      </w:r>
      <w:r>
        <w:rPr>
          <w:rFonts w:hint="eastAsia" w:ascii="微软雅黑" w:hAnsi="微软雅黑" w:eastAsia="微软雅黑" w:cs="......."/>
          <w:color w:val="auto"/>
          <w:sz w:val="24"/>
          <w:szCs w:val="24"/>
        </w:rPr>
        <w:t>，切勿在行</w:t>
      </w:r>
      <w:r>
        <w:rPr>
          <w:rFonts w:hint="cs" w:ascii="微软雅黑" w:hAnsi="微软雅黑" w:eastAsia="微软雅黑" w:cs="......."/>
          <w:color w:val="auto"/>
          <w:sz w:val="24"/>
          <w:szCs w:val="24"/>
        </w:rPr>
        <w:t>车</w:t>
      </w:r>
      <w:r>
        <w:rPr>
          <w:rFonts w:hint="eastAsia" w:ascii="微软雅黑" w:hAnsi="微软雅黑" w:eastAsia="微软雅黑" w:cs="......."/>
          <w:color w:val="auto"/>
          <w:sz w:val="24"/>
          <w:szCs w:val="24"/>
        </w:rPr>
        <w:t>道中停</w:t>
      </w:r>
      <w:r>
        <w:rPr>
          <w:rFonts w:hint="cs" w:ascii="微软雅黑" w:hAnsi="微软雅黑" w:eastAsia="微软雅黑" w:cs="......."/>
          <w:color w:val="auto"/>
          <w:sz w:val="24"/>
          <w:szCs w:val="24"/>
        </w:rPr>
        <w:t>车观赏风</w:t>
      </w:r>
      <w:r>
        <w:rPr>
          <w:rFonts w:hint="eastAsia" w:ascii="微软雅黑" w:hAnsi="微软雅黑" w:eastAsia="微软雅黑" w:cs="......."/>
          <w:color w:val="auto"/>
          <w:sz w:val="24"/>
          <w:szCs w:val="24"/>
        </w:rPr>
        <w:t>景。行</w:t>
      </w:r>
      <w:r>
        <w:rPr>
          <w:rFonts w:hint="cs" w:ascii="微软雅黑" w:hAnsi="微软雅黑" w:eastAsia="微软雅黑" w:cs="......."/>
          <w:color w:val="auto"/>
          <w:sz w:val="24"/>
          <w:szCs w:val="24"/>
        </w:rPr>
        <w:t>驶</w:t>
      </w:r>
      <w:r>
        <w:rPr>
          <w:rFonts w:hint="eastAsia" w:ascii="微软雅黑" w:hAnsi="微软雅黑" w:eastAsia="微软雅黑" w:cs="......."/>
          <w:color w:val="auto"/>
          <w:sz w:val="24"/>
          <w:szCs w:val="24"/>
        </w:rPr>
        <w:t>中遇到家畜及野生</w:t>
      </w:r>
      <w:r>
        <w:rPr>
          <w:rFonts w:hint="cs" w:ascii="微软雅黑" w:hAnsi="微软雅黑" w:eastAsia="微软雅黑" w:cs="......."/>
          <w:color w:val="auto"/>
          <w:sz w:val="24"/>
          <w:szCs w:val="24"/>
        </w:rPr>
        <w:t>动</w:t>
      </w:r>
      <w:r>
        <w:rPr>
          <w:rFonts w:hint="eastAsia" w:ascii="微软雅黑" w:hAnsi="微软雅黑" w:eastAsia="微软雅黑" w:cs="......."/>
          <w:color w:val="auto"/>
          <w:sz w:val="24"/>
          <w:szCs w:val="24"/>
        </w:rPr>
        <w:t>物</w:t>
      </w:r>
      <w:r>
        <w:rPr>
          <w:rFonts w:hint="cs" w:ascii="微软雅黑" w:hAnsi="微软雅黑" w:eastAsia="微软雅黑" w:cs="......."/>
          <w:color w:val="auto"/>
          <w:sz w:val="24"/>
          <w:szCs w:val="24"/>
        </w:rPr>
        <w:t>时</w:t>
      </w:r>
      <w:r>
        <w:rPr>
          <w:rFonts w:hint="eastAsia" w:ascii="微软雅黑" w:hAnsi="微软雅黑" w:eastAsia="微软雅黑" w:cs="......."/>
          <w:color w:val="auto"/>
          <w:sz w:val="24"/>
          <w:szCs w:val="24"/>
        </w:rPr>
        <w:t>，不要</w:t>
      </w:r>
      <w:r>
        <w:rPr>
          <w:rFonts w:hint="cs" w:ascii="微软雅黑" w:hAnsi="微软雅黑" w:eastAsia="微软雅黑" w:cs="......."/>
          <w:color w:val="auto"/>
          <w:sz w:val="24"/>
          <w:szCs w:val="24"/>
        </w:rPr>
        <w:t>鸣号</w:t>
      </w:r>
      <w:r>
        <w:rPr>
          <w:rFonts w:hint="eastAsia" w:ascii="微软雅黑" w:hAnsi="微软雅黑" w:eastAsia="微软雅黑" w:cs="......."/>
          <w:color w:val="auto"/>
          <w:sz w:val="24"/>
          <w:szCs w:val="24"/>
        </w:rPr>
        <w:t>；</w:t>
      </w:r>
    </w:p>
    <w:p>
      <w:pPr>
        <w:widowControl/>
        <w:numPr>
          <w:ilvl w:val="0"/>
          <w:numId w:val="6"/>
        </w:numPr>
        <w:autoSpaceDE w:val="0"/>
        <w:autoSpaceDN w:val="0"/>
        <w:adjustRightInd w:val="0"/>
        <w:spacing w:after="100" w:afterAutospacing="1" w:line="400" w:lineRule="exact"/>
        <w:jc w:val="left"/>
        <w:rPr>
          <w:rFonts w:ascii="微软雅黑" w:hAnsi="微软雅黑" w:eastAsia="微软雅黑" w:cs="......."/>
          <w:color w:val="auto"/>
          <w:sz w:val="24"/>
          <w:szCs w:val="24"/>
        </w:rPr>
      </w:pPr>
      <w:r>
        <w:rPr>
          <w:rFonts w:hint="eastAsia" w:ascii="微软雅黑" w:hAnsi="微软雅黑" w:eastAsia="微软雅黑" w:cs="......."/>
          <w:color w:val="auto"/>
          <w:sz w:val="24"/>
          <w:szCs w:val="24"/>
        </w:rPr>
        <w:t>及</w:t>
      </w:r>
      <w:r>
        <w:rPr>
          <w:rFonts w:hint="cs" w:ascii="微软雅黑" w:hAnsi="微软雅黑" w:eastAsia="微软雅黑" w:cs="......."/>
          <w:color w:val="auto"/>
          <w:sz w:val="24"/>
          <w:szCs w:val="24"/>
        </w:rPr>
        <w:t>时</w:t>
      </w:r>
      <w:r>
        <w:rPr>
          <w:rFonts w:hint="eastAsia" w:ascii="微软雅黑" w:hAnsi="微软雅黑" w:eastAsia="微软雅黑" w:cs="......."/>
          <w:color w:val="auto"/>
          <w:sz w:val="24"/>
          <w:szCs w:val="24"/>
        </w:rPr>
        <w:t>刻注意天气</w:t>
      </w:r>
      <w:r>
        <w:rPr>
          <w:rFonts w:hint="cs" w:ascii="微软雅黑" w:hAnsi="微软雅黑" w:eastAsia="微软雅黑" w:cs="......."/>
          <w:color w:val="auto"/>
          <w:sz w:val="24"/>
          <w:szCs w:val="24"/>
        </w:rPr>
        <w:t>变</w:t>
      </w:r>
      <w:r>
        <w:rPr>
          <w:rFonts w:hint="eastAsia" w:ascii="微软雅黑" w:hAnsi="微软雅黑" w:eastAsia="微软雅黑" w:cs="......."/>
          <w:color w:val="auto"/>
          <w:sz w:val="24"/>
          <w:szCs w:val="24"/>
        </w:rPr>
        <w:t>化，下雨后避免在一些高危路段行</w:t>
      </w:r>
      <w:r>
        <w:rPr>
          <w:rFonts w:hint="cs" w:ascii="微软雅黑" w:hAnsi="微软雅黑" w:eastAsia="微软雅黑" w:cs="......."/>
          <w:color w:val="auto"/>
          <w:sz w:val="24"/>
          <w:szCs w:val="24"/>
        </w:rPr>
        <w:t>车</w:t>
      </w:r>
      <w:r>
        <w:rPr>
          <w:rFonts w:hint="eastAsia" w:ascii="微软雅黑" w:hAnsi="微软雅黑" w:eastAsia="微软雅黑" w:cs="......."/>
          <w:color w:val="auto"/>
          <w:sz w:val="24"/>
          <w:szCs w:val="24"/>
        </w:rPr>
        <w:t>，以防滑坡和</w:t>
      </w:r>
      <w:r>
        <w:rPr>
          <w:rFonts w:hint="cs" w:ascii="微软雅黑" w:hAnsi="微软雅黑" w:eastAsia="微软雅黑" w:cs="......."/>
          <w:color w:val="auto"/>
          <w:sz w:val="24"/>
          <w:szCs w:val="24"/>
        </w:rPr>
        <w:t>飞</w:t>
      </w:r>
      <w:r>
        <w:rPr>
          <w:rFonts w:hint="eastAsia" w:ascii="微软雅黑" w:hAnsi="微软雅黑" w:eastAsia="微软雅黑" w:cs="......."/>
          <w:color w:val="auto"/>
          <w:sz w:val="24"/>
          <w:szCs w:val="24"/>
        </w:rPr>
        <w:t>石等情</w:t>
      </w:r>
      <w:r>
        <w:rPr>
          <w:rFonts w:hint="cs" w:ascii="微软雅黑" w:hAnsi="微软雅黑" w:eastAsia="微软雅黑" w:cs="......."/>
          <w:color w:val="auto"/>
          <w:sz w:val="24"/>
          <w:szCs w:val="24"/>
        </w:rPr>
        <w:t>况</w:t>
      </w:r>
      <w:r>
        <w:rPr>
          <w:rFonts w:hint="eastAsia" w:ascii="微软雅黑" w:hAnsi="微软雅黑" w:eastAsia="微软雅黑" w:cs="......."/>
          <w:color w:val="auto"/>
          <w:sz w:val="24"/>
          <w:szCs w:val="24"/>
        </w:rPr>
        <w:t>。</w:t>
      </w:r>
      <w:r>
        <w:rPr>
          <w:rFonts w:hint="cs" w:ascii="微软雅黑" w:hAnsi="微软雅黑" w:eastAsia="微软雅黑" w:cs="......."/>
          <w:color w:val="auto"/>
          <w:sz w:val="24"/>
          <w:szCs w:val="24"/>
        </w:rPr>
        <w:t>车内</w:t>
      </w:r>
      <w:r>
        <w:rPr>
          <w:rFonts w:hint="eastAsia" w:ascii="微软雅黑" w:hAnsi="微软雅黑" w:eastAsia="微软雅黑" w:cs="......."/>
          <w:color w:val="auto"/>
          <w:sz w:val="24"/>
          <w:szCs w:val="24"/>
        </w:rPr>
        <w:t>乘客行</w:t>
      </w:r>
      <w:r>
        <w:rPr>
          <w:rFonts w:hint="cs" w:ascii="微软雅黑" w:hAnsi="微软雅黑" w:eastAsia="微软雅黑" w:cs="......."/>
          <w:color w:val="auto"/>
          <w:sz w:val="24"/>
          <w:szCs w:val="24"/>
        </w:rPr>
        <w:t>车时应协</w:t>
      </w:r>
      <w:r>
        <w:rPr>
          <w:rFonts w:hint="eastAsia" w:ascii="微软雅黑" w:hAnsi="微软雅黑" w:eastAsia="微软雅黑" w:cs="......."/>
          <w:color w:val="auto"/>
          <w:sz w:val="24"/>
          <w:szCs w:val="24"/>
        </w:rPr>
        <w:t>助司机</w:t>
      </w:r>
      <w:r>
        <w:rPr>
          <w:rFonts w:hint="cs" w:ascii="微软雅黑" w:hAnsi="微软雅黑" w:eastAsia="微软雅黑" w:cs="......."/>
          <w:color w:val="auto"/>
          <w:sz w:val="24"/>
          <w:szCs w:val="24"/>
        </w:rPr>
        <w:t>观</w:t>
      </w:r>
      <w:r>
        <w:rPr>
          <w:rFonts w:hint="eastAsia" w:ascii="微软雅黑" w:hAnsi="微软雅黑" w:eastAsia="微软雅黑" w:cs="......."/>
          <w:color w:val="auto"/>
          <w:sz w:val="24"/>
          <w:szCs w:val="24"/>
        </w:rPr>
        <w:t>察路</w:t>
      </w:r>
      <w:r>
        <w:rPr>
          <w:rFonts w:hint="cs" w:ascii="微软雅黑" w:hAnsi="微软雅黑" w:eastAsia="微软雅黑" w:cs="......."/>
          <w:color w:val="auto"/>
          <w:sz w:val="24"/>
          <w:szCs w:val="24"/>
        </w:rPr>
        <w:t>边</w:t>
      </w:r>
      <w:r>
        <w:rPr>
          <w:rFonts w:hint="eastAsia" w:ascii="微软雅黑" w:hAnsi="微软雅黑" w:eastAsia="微软雅黑" w:cs="......."/>
          <w:color w:val="auto"/>
          <w:sz w:val="24"/>
          <w:szCs w:val="24"/>
        </w:rPr>
        <w:t>山体</w:t>
      </w:r>
      <w:r>
        <w:rPr>
          <w:rFonts w:hint="cs" w:ascii="微软雅黑" w:hAnsi="微软雅黑" w:eastAsia="微软雅黑" w:cs="......."/>
          <w:color w:val="auto"/>
          <w:sz w:val="24"/>
          <w:szCs w:val="24"/>
        </w:rPr>
        <w:t>状况</w:t>
      </w:r>
      <w:r>
        <w:rPr>
          <w:rFonts w:hint="eastAsia" w:ascii="微软雅黑" w:hAnsi="微软雅黑" w:eastAsia="微软雅黑" w:cs="......."/>
          <w:color w:val="auto"/>
          <w:sz w:val="24"/>
          <w:szCs w:val="24"/>
        </w:rPr>
        <w:t>，因</w:t>
      </w:r>
      <w:r>
        <w:rPr>
          <w:rFonts w:hint="cs" w:ascii="微软雅黑" w:hAnsi="微软雅黑" w:eastAsia="微软雅黑" w:cs="......."/>
          <w:color w:val="auto"/>
          <w:sz w:val="24"/>
          <w:szCs w:val="24"/>
        </w:rPr>
        <w:t>应</w:t>
      </w:r>
      <w:r>
        <w:rPr>
          <w:rFonts w:hint="eastAsia" w:ascii="微软雅黑" w:hAnsi="微软雅黑" w:eastAsia="微软雅黑" w:cs="......."/>
          <w:color w:val="auto"/>
          <w:sz w:val="24"/>
          <w:szCs w:val="24"/>
        </w:rPr>
        <w:t>路</w:t>
      </w:r>
      <w:r>
        <w:rPr>
          <w:rFonts w:hint="cs" w:ascii="微软雅黑" w:hAnsi="微软雅黑" w:eastAsia="微软雅黑" w:cs="......."/>
          <w:color w:val="auto"/>
          <w:sz w:val="24"/>
          <w:szCs w:val="24"/>
        </w:rPr>
        <w:t>况</w:t>
      </w:r>
      <w:r>
        <w:rPr>
          <w:rFonts w:hint="eastAsia" w:ascii="微软雅黑" w:hAnsi="微软雅黑" w:eastAsia="微软雅黑" w:cs="......."/>
          <w:color w:val="auto"/>
          <w:sz w:val="24"/>
          <w:szCs w:val="24"/>
        </w:rPr>
        <w:t>行</w:t>
      </w:r>
      <w:r>
        <w:rPr>
          <w:rFonts w:hint="cs" w:ascii="微软雅黑" w:hAnsi="微软雅黑" w:eastAsia="微软雅黑" w:cs="......."/>
          <w:color w:val="auto"/>
          <w:sz w:val="24"/>
          <w:szCs w:val="24"/>
        </w:rPr>
        <w:t>车</w:t>
      </w:r>
      <w:r>
        <w:rPr>
          <w:rFonts w:hint="eastAsia" w:ascii="微软雅黑" w:hAnsi="微软雅黑" w:eastAsia="微软雅黑" w:cs="......."/>
          <w:color w:val="auto"/>
          <w:sz w:val="24"/>
          <w:szCs w:val="24"/>
        </w:rPr>
        <w:t>。</w:t>
      </w:r>
    </w:p>
    <w:p>
      <w:pPr>
        <w:widowControl/>
        <w:jc w:val="left"/>
        <w:rPr>
          <w:rFonts w:ascii="微软雅黑" w:hAnsi="微软雅黑" w:eastAsia="微软雅黑" w:cs="......."/>
          <w:color w:val="auto"/>
          <w:sz w:val="24"/>
          <w:szCs w:val="24"/>
        </w:rPr>
      </w:pPr>
      <w:r>
        <w:rPr>
          <w:rFonts w:ascii="微软雅黑" w:hAnsi="微软雅黑" w:eastAsia="微软雅黑" w:cs="......."/>
          <w:color w:val="auto"/>
          <w:sz w:val="24"/>
          <w:szCs w:val="24"/>
        </w:rPr>
        <w:br w:type="page"/>
      </w:r>
    </w:p>
    <w:p>
      <w:pPr>
        <w:pStyle w:val="28"/>
        <w:numPr>
          <w:ilvl w:val="0"/>
          <w:numId w:val="1"/>
        </w:numPr>
        <w:spacing w:line="480" w:lineRule="auto"/>
        <w:ind w:left="720" w:hanging="720" w:hangingChars="200"/>
        <w:outlineLvl w:val="0"/>
        <w:rPr>
          <w:rFonts w:ascii="微软雅黑" w:hAnsi="微软雅黑" w:eastAsia="微软雅黑"/>
          <w:b/>
          <w:color w:val="auto"/>
          <w:sz w:val="36"/>
          <w:szCs w:val="24"/>
          <w:lang w:eastAsia="zh-TW"/>
        </w:rPr>
      </w:pPr>
      <w:bookmarkStart w:id="5" w:name="_Toc475364380"/>
      <w:r>
        <w:rPr>
          <w:rFonts w:hint="eastAsia" w:ascii="微软雅黑" w:hAnsi="微软雅黑" w:eastAsia="微软雅黑"/>
          <w:b/>
          <w:color w:val="auto"/>
          <w:sz w:val="36"/>
          <w:szCs w:val="24"/>
        </w:rPr>
        <w:t>突发事故处理</w:t>
      </w:r>
      <w:bookmarkEnd w:id="5"/>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严重意外或伤亡事故</w:t>
      </w:r>
    </w:p>
    <w:p>
      <w:pPr>
        <w:spacing w:before="78" w:beforeLines="25" w:line="400" w:lineRule="exact"/>
        <w:rPr>
          <w:rFonts w:ascii="微软雅黑" w:hAnsi="微软雅黑" w:eastAsia="微软雅黑"/>
          <w:color w:val="auto"/>
          <w:sz w:val="24"/>
          <w:szCs w:val="24"/>
        </w:rPr>
      </w:pP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在内地遭遇严重意外或伤亡事故，应立即拨打「110」向公安机关报告。</w:t>
      </w:r>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人身安全受到威胁</w:t>
      </w:r>
    </w:p>
    <w:p>
      <w:pPr>
        <w:spacing w:before="78" w:beforeLines="25"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当人身安全受到威胁时，如情况许可应直接拨打「</w:t>
      </w:r>
      <w:r>
        <w:rPr>
          <w:rFonts w:ascii="微软雅黑" w:hAnsi="微软雅黑" w:eastAsia="微软雅黑"/>
          <w:color w:val="auto"/>
          <w:sz w:val="24"/>
          <w:szCs w:val="24"/>
        </w:rPr>
        <w:t>110</w:t>
      </w:r>
      <w:r>
        <w:rPr>
          <w:rFonts w:hint="eastAsia" w:ascii="微软雅黑" w:hAnsi="微软雅黑" w:eastAsia="微软雅黑"/>
          <w:color w:val="auto"/>
          <w:sz w:val="24"/>
          <w:szCs w:val="24"/>
        </w:rPr>
        <w:t>」或向就近的派出所求助。</w:t>
      </w:r>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涉案：权利及程序</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在内地触犯或涉嫌触犯刑事法律而被司法机关拘留、逮捕或执行其他强制措施、审判及有关处罚时，其法律地位、适用的审判程序、享有的法律及诉讼权利和待遇等都与内地居民完全相同。</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如触犯工商、税务等行政机关的管理法规（如无执照经营、逃税等），但未有严重构成犯罪的，以行政处罚处理（即警告、拘留、吊销营业执照、罚款等）。若</w:t>
      </w: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行为涉及违反治安管理规定时，如殴斗、吸毒、嫖妓等，在未有构成刑事犯罪时，以治安处罚处理（即警告、罚款、拘留等）。</w:t>
      </w:r>
    </w:p>
    <w:p>
      <w:pPr>
        <w:widowControl/>
        <w:jc w:val="left"/>
        <w:rPr>
          <w:rFonts w:ascii="微软雅黑" w:hAnsi="微软雅黑" w:eastAsia="微软雅黑" w:cs="Times New Roman"/>
          <w:b/>
          <w:color w:val="auto"/>
          <w:sz w:val="30"/>
          <w:szCs w:val="30"/>
        </w:rPr>
      </w:pPr>
      <w:r>
        <w:rPr>
          <w:rFonts w:ascii="微软雅黑" w:hAnsi="微软雅黑" w:eastAsia="微软雅黑"/>
          <w:b/>
          <w:color w:val="auto"/>
          <w:sz w:val="30"/>
          <w:szCs w:val="30"/>
        </w:rPr>
        <w:br w:type="page"/>
      </w:r>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遗失财物</w:t>
      </w:r>
    </w:p>
    <w:p>
      <w:pPr>
        <w:spacing w:before="156" w:beforeLines="5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如在内地遗失金钱应首先向就近的公安派出所报失，索取报失证明。如当事人需要协助返回香港，可联络驻成都办或入境事务处协助在外</w:t>
      </w: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小组。香港特区政府可协助当事人联络其在港的亲友，以便他们为当事人提供援助，解决其需要。若当事人亲友未能及时给予金钱上的援助，驻成都办会按个别情况考虑垫付合适的款项协助当事人尽速返港，惟当事人必须书面承诺会尽快悉数清还垫款。</w:t>
      </w:r>
    </w:p>
    <w:p>
      <w:pPr>
        <w:spacing w:before="156" w:beforeLines="5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联络电话</w:t>
      </w:r>
      <w:r>
        <w:rPr>
          <w:rFonts w:ascii="微软雅黑" w:hAnsi="微软雅黑" w:eastAsia="微软雅黑"/>
          <w:color w:val="auto"/>
          <w:sz w:val="24"/>
          <w:szCs w:val="24"/>
        </w:rPr>
        <w:t>:</w:t>
      </w:r>
      <w:r>
        <w:rPr>
          <w:rFonts w:ascii="微软雅黑" w:hAnsi="微软雅黑" w:eastAsia="微软雅黑"/>
          <w:color w:val="auto"/>
          <w:sz w:val="24"/>
          <w:szCs w:val="24"/>
        </w:rPr>
        <w:tab/>
      </w:r>
      <w:r>
        <w:rPr>
          <w:rFonts w:hint="eastAsia" w:ascii="微软雅黑" w:hAnsi="微软雅黑" w:eastAsia="微软雅黑"/>
          <w:color w:val="auto"/>
          <w:sz w:val="24"/>
          <w:szCs w:val="24"/>
        </w:rPr>
        <w:t>入境事务处</w:t>
      </w:r>
      <w:r>
        <w:rPr>
          <w:rFonts w:ascii="微软雅黑" w:hAnsi="微软雅黑" w:eastAsia="微软雅黑"/>
          <w:color w:val="auto"/>
          <w:sz w:val="24"/>
          <w:szCs w:val="24"/>
        </w:rPr>
        <w:t>24</w:t>
      </w:r>
      <w:r>
        <w:rPr>
          <w:rFonts w:hint="eastAsia" w:ascii="微软雅黑" w:hAnsi="微软雅黑" w:eastAsia="微软雅黑"/>
          <w:color w:val="auto"/>
          <w:sz w:val="24"/>
          <w:szCs w:val="24"/>
        </w:rPr>
        <w:t>小时求助热线电话：</w:t>
      </w:r>
      <w:r>
        <w:rPr>
          <w:rFonts w:ascii="微软雅黑" w:hAnsi="微软雅黑" w:eastAsia="微软雅黑"/>
          <w:color w:val="auto"/>
          <w:sz w:val="24"/>
          <w:szCs w:val="24"/>
        </w:rPr>
        <w:t>(852)1868</w:t>
      </w:r>
    </w:p>
    <w:p>
      <w:pPr>
        <w:spacing w:before="78" w:beforeLines="25" w:line="400" w:lineRule="exact"/>
        <w:rPr>
          <w:rFonts w:ascii="微软雅黑" w:hAnsi="微软雅黑" w:eastAsia="微软雅黑"/>
          <w:color w:val="auto"/>
          <w:sz w:val="24"/>
          <w:szCs w:val="24"/>
        </w:rPr>
      </w:pPr>
      <w:r>
        <w:rPr>
          <w:rFonts w:ascii="微软雅黑" w:hAnsi="微软雅黑" w:eastAsia="微软雅黑"/>
          <w:color w:val="auto"/>
          <w:sz w:val="24"/>
          <w:szCs w:val="24"/>
        </w:rPr>
        <w:tab/>
      </w:r>
      <w:r>
        <w:rPr>
          <w:rFonts w:ascii="微软雅黑" w:hAnsi="微软雅黑" w:eastAsia="微软雅黑"/>
          <w:color w:val="auto"/>
          <w:sz w:val="24"/>
          <w:szCs w:val="24"/>
        </w:rPr>
        <w:tab/>
      </w:r>
      <w:r>
        <w:rPr>
          <w:rFonts w:ascii="微软雅黑" w:hAnsi="微软雅黑" w:eastAsia="微软雅黑"/>
          <w:color w:val="auto"/>
          <w:sz w:val="24"/>
          <w:szCs w:val="24"/>
        </w:rPr>
        <w:tab/>
      </w:r>
      <w:r>
        <w:rPr>
          <w:rFonts w:hint="eastAsia" w:ascii="微软雅黑" w:hAnsi="微软雅黑" w:eastAsia="微软雅黑"/>
          <w:color w:val="auto"/>
          <w:sz w:val="24"/>
          <w:szCs w:val="24"/>
        </w:rPr>
        <w:t>驻成都办入境事务组电话：</w:t>
      </w:r>
      <w:r>
        <w:rPr>
          <w:rFonts w:ascii="微软雅黑" w:hAnsi="微软雅黑" w:eastAsia="微软雅黑"/>
          <w:color w:val="auto"/>
          <w:sz w:val="24"/>
          <w:szCs w:val="24"/>
        </w:rPr>
        <w:t xml:space="preserve">(028)86768301 </w:t>
      </w:r>
      <w:r>
        <w:rPr>
          <w:rFonts w:hint="eastAsia" w:ascii="微软雅黑" w:hAnsi="微软雅黑" w:eastAsia="微软雅黑"/>
          <w:color w:val="auto"/>
          <w:sz w:val="24"/>
          <w:szCs w:val="24"/>
        </w:rPr>
        <w:t>内线</w:t>
      </w:r>
      <w:r>
        <w:rPr>
          <w:rFonts w:ascii="微软雅黑" w:hAnsi="微软雅黑" w:eastAsia="微软雅黑"/>
          <w:color w:val="auto"/>
          <w:sz w:val="24"/>
          <w:szCs w:val="24"/>
        </w:rPr>
        <w:t xml:space="preserve"> 330</w:t>
      </w:r>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交通事故</w:t>
      </w:r>
    </w:p>
    <w:p>
      <w:pPr>
        <w:spacing w:before="312" w:beforeLines="100"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在成都驾车出行发生交通事故时，一般轻微事故可自行协商处理或交由交通警察调解处理，在下列情况，当事人应当保护现场并立即报警（交通事故报警电话为：</w:t>
      </w:r>
      <w:r>
        <w:rPr>
          <w:rFonts w:ascii="微软雅黑" w:hAnsi="微软雅黑" w:eastAsia="微软雅黑"/>
          <w:color w:val="auto"/>
          <w:sz w:val="24"/>
          <w:szCs w:val="24"/>
        </w:rPr>
        <w:t>122</w:t>
      </w:r>
      <w:r>
        <w:rPr>
          <w:rFonts w:hint="eastAsia" w:ascii="微软雅黑" w:hAnsi="微软雅黑" w:eastAsia="微软雅黑"/>
          <w:color w:val="auto"/>
          <w:sz w:val="24"/>
          <w:szCs w:val="24"/>
        </w:rPr>
        <w:t>）：</w:t>
      </w:r>
    </w:p>
    <w:p>
      <w:pPr>
        <w:spacing w:line="400" w:lineRule="exact"/>
        <w:jc w:val="left"/>
        <w:rPr>
          <w:rFonts w:ascii="微软雅黑" w:hAnsi="微软雅黑" w:eastAsia="微软雅黑"/>
          <w:color w:val="auto"/>
          <w:sz w:val="24"/>
          <w:szCs w:val="24"/>
          <w:lang w:eastAsia="zh-TW"/>
        </w:rPr>
      </w:pPr>
      <w:r>
        <w:rPr>
          <w:rFonts w:ascii="微软雅黑" w:hAnsi="微软雅黑" w:eastAsia="微软雅黑"/>
          <w:color w:val="auto"/>
          <w:sz w:val="24"/>
          <w:szCs w:val="24"/>
        </w:rPr>
        <w:t xml:space="preserve">(1) </w:t>
      </w:r>
      <w:r>
        <w:rPr>
          <w:rFonts w:hint="eastAsia" w:ascii="微软雅黑" w:hAnsi="微软雅黑" w:eastAsia="微软雅黑"/>
          <w:color w:val="auto"/>
          <w:sz w:val="24"/>
          <w:szCs w:val="24"/>
        </w:rPr>
        <w:t>机动车无号牌、无检验合格标志、无保险标志；</w:t>
      </w:r>
    </w:p>
    <w:p>
      <w:pPr>
        <w:spacing w:line="400" w:lineRule="exact"/>
        <w:jc w:val="left"/>
        <w:rPr>
          <w:rFonts w:ascii="微软雅黑" w:hAnsi="微软雅黑" w:eastAsia="微软雅黑"/>
          <w:color w:val="auto"/>
          <w:sz w:val="24"/>
          <w:szCs w:val="24"/>
          <w:lang w:eastAsia="zh-TW"/>
        </w:rPr>
      </w:pPr>
      <w:r>
        <w:rPr>
          <w:rFonts w:ascii="微软雅黑" w:hAnsi="微软雅黑" w:eastAsia="微软雅黑"/>
          <w:color w:val="auto"/>
          <w:sz w:val="24"/>
          <w:szCs w:val="24"/>
        </w:rPr>
        <w:t xml:space="preserve">(2) </w:t>
      </w:r>
      <w:r>
        <w:rPr>
          <w:rFonts w:hint="eastAsia" w:ascii="微软雅黑" w:hAnsi="微软雅黑" w:eastAsia="微软雅黑"/>
          <w:color w:val="auto"/>
          <w:sz w:val="24"/>
          <w:szCs w:val="24"/>
        </w:rPr>
        <w:t>驾驶人无有效机动车驾驶证；</w:t>
      </w:r>
    </w:p>
    <w:p>
      <w:pPr>
        <w:spacing w:line="400" w:lineRule="exact"/>
        <w:jc w:val="left"/>
        <w:rPr>
          <w:rFonts w:ascii="微软雅黑" w:hAnsi="微软雅黑" w:eastAsia="微软雅黑"/>
          <w:color w:val="auto"/>
          <w:sz w:val="24"/>
          <w:szCs w:val="24"/>
          <w:lang w:eastAsia="zh-TW"/>
        </w:rPr>
      </w:pPr>
      <w:r>
        <w:rPr>
          <w:rFonts w:ascii="微软雅黑" w:hAnsi="微软雅黑" w:eastAsia="微软雅黑"/>
          <w:color w:val="auto"/>
          <w:sz w:val="24"/>
          <w:szCs w:val="24"/>
        </w:rPr>
        <w:t xml:space="preserve">(3) </w:t>
      </w:r>
      <w:r>
        <w:rPr>
          <w:rFonts w:hint="eastAsia" w:ascii="微软雅黑" w:hAnsi="微软雅黑" w:eastAsia="微软雅黑"/>
          <w:color w:val="auto"/>
          <w:sz w:val="24"/>
          <w:szCs w:val="24"/>
        </w:rPr>
        <w:t>机动车驾驶人饮酒、服用国家管制的精神药品或者麻醉药品；</w:t>
      </w:r>
    </w:p>
    <w:p>
      <w:pPr>
        <w:spacing w:line="400" w:lineRule="exact"/>
        <w:jc w:val="left"/>
        <w:rPr>
          <w:rFonts w:ascii="微软雅黑" w:hAnsi="微软雅黑" w:eastAsia="微软雅黑"/>
          <w:color w:val="auto"/>
          <w:sz w:val="24"/>
          <w:szCs w:val="24"/>
          <w:lang w:eastAsia="zh-TW"/>
        </w:rPr>
      </w:pPr>
      <w:r>
        <w:rPr>
          <w:rFonts w:ascii="微软雅黑" w:hAnsi="微软雅黑" w:eastAsia="微软雅黑"/>
          <w:color w:val="auto"/>
          <w:sz w:val="24"/>
          <w:szCs w:val="24"/>
        </w:rPr>
        <w:t xml:space="preserve">(4) </w:t>
      </w:r>
      <w:r>
        <w:rPr>
          <w:rFonts w:hint="eastAsia" w:ascii="微软雅黑" w:hAnsi="微软雅黑" w:eastAsia="微软雅黑"/>
          <w:color w:val="auto"/>
          <w:sz w:val="24"/>
          <w:szCs w:val="24"/>
        </w:rPr>
        <w:t>对交通事故事实或者成因有争议；</w:t>
      </w:r>
    </w:p>
    <w:p>
      <w:pPr>
        <w:spacing w:line="400" w:lineRule="exact"/>
        <w:jc w:val="left"/>
        <w:rPr>
          <w:rFonts w:ascii="微软雅黑" w:hAnsi="微软雅黑" w:eastAsia="微软雅黑"/>
          <w:color w:val="auto"/>
          <w:sz w:val="24"/>
          <w:szCs w:val="24"/>
          <w:lang w:eastAsia="zh-TW"/>
        </w:rPr>
      </w:pPr>
      <w:r>
        <w:rPr>
          <w:rFonts w:ascii="微软雅黑" w:hAnsi="微软雅黑" w:eastAsia="微软雅黑"/>
          <w:color w:val="auto"/>
          <w:sz w:val="24"/>
          <w:szCs w:val="24"/>
        </w:rPr>
        <w:t xml:space="preserve">(5) </w:t>
      </w:r>
      <w:r>
        <w:rPr>
          <w:rFonts w:hint="eastAsia" w:ascii="微软雅黑" w:hAnsi="微软雅黑" w:eastAsia="微软雅黑"/>
          <w:color w:val="auto"/>
          <w:sz w:val="24"/>
          <w:szCs w:val="24"/>
        </w:rPr>
        <w:t>当事人不能自行移动车辆；</w:t>
      </w:r>
    </w:p>
    <w:p>
      <w:pPr>
        <w:spacing w:line="400" w:lineRule="exact"/>
        <w:jc w:val="left"/>
        <w:rPr>
          <w:rFonts w:ascii="微软雅黑" w:hAnsi="微软雅黑" w:eastAsia="微软雅黑"/>
          <w:color w:val="auto"/>
          <w:sz w:val="24"/>
          <w:szCs w:val="24"/>
          <w:lang w:eastAsia="zh-TW"/>
        </w:rPr>
      </w:pPr>
      <w:r>
        <w:rPr>
          <w:rFonts w:ascii="微软雅黑" w:hAnsi="微软雅黑" w:eastAsia="微软雅黑"/>
          <w:color w:val="auto"/>
          <w:sz w:val="24"/>
          <w:szCs w:val="24"/>
        </w:rPr>
        <w:t xml:space="preserve">(6) </w:t>
      </w:r>
      <w:r>
        <w:rPr>
          <w:rFonts w:hint="eastAsia" w:ascii="微软雅黑" w:hAnsi="微软雅黑" w:eastAsia="微软雅黑"/>
          <w:color w:val="auto"/>
          <w:sz w:val="24"/>
          <w:szCs w:val="24"/>
        </w:rPr>
        <w:t>碰撞建筑物、公共设施或者其他设施；</w:t>
      </w:r>
    </w:p>
    <w:p>
      <w:pPr>
        <w:spacing w:line="400" w:lineRule="exact"/>
        <w:jc w:val="left"/>
        <w:rPr>
          <w:rFonts w:ascii="微软雅黑" w:hAnsi="微软雅黑" w:eastAsia="微软雅黑"/>
          <w:color w:val="auto"/>
          <w:sz w:val="24"/>
          <w:szCs w:val="24"/>
          <w:lang w:eastAsia="zh-TW"/>
        </w:rPr>
      </w:pPr>
      <w:r>
        <w:rPr>
          <w:rFonts w:ascii="微软雅黑" w:hAnsi="微软雅黑" w:eastAsia="微软雅黑"/>
          <w:color w:val="auto"/>
          <w:sz w:val="24"/>
          <w:szCs w:val="24"/>
        </w:rPr>
        <w:t xml:space="preserve">(7) </w:t>
      </w:r>
      <w:r>
        <w:rPr>
          <w:rFonts w:hint="eastAsia" w:ascii="微软雅黑" w:hAnsi="微软雅黑" w:eastAsia="微软雅黑"/>
          <w:color w:val="auto"/>
          <w:sz w:val="24"/>
          <w:szCs w:val="24"/>
        </w:rPr>
        <w:t>车辆单方发生交通事故。</w:t>
      </w:r>
    </w:p>
    <w:p>
      <w:pPr>
        <w:spacing w:before="312" w:beforeLines="100"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有关详情，请参阅《成都市道路交通事故责任确定指导意见》：</w:t>
      </w:r>
    </w:p>
    <w:p>
      <w:pPr>
        <w:spacing w:before="78" w:beforeLines="25" w:line="400" w:lineRule="exact"/>
        <w:jc w:val="left"/>
        <w:rPr>
          <w:rFonts w:ascii="微软雅黑" w:hAnsi="微软雅黑" w:eastAsia="微软雅黑"/>
          <w:color w:val="auto"/>
          <w:sz w:val="24"/>
          <w:szCs w:val="24"/>
        </w:rPr>
      </w:pPr>
      <w:r>
        <w:rPr>
          <w:color w:val="auto"/>
        </w:rPr>
        <w:fldChar w:fldCharType="begin"/>
      </w:r>
      <w:r>
        <w:rPr>
          <w:color w:val="auto"/>
        </w:rPr>
        <w:instrText xml:space="preserve"> HYPERLINK "http://www.cdjg.gov.cn/Html/News/20140410/content_92_1100001530.html" </w:instrText>
      </w:r>
      <w:r>
        <w:rPr>
          <w:color w:val="auto"/>
        </w:rPr>
        <w:fldChar w:fldCharType="separate"/>
      </w:r>
      <w:r>
        <w:rPr>
          <w:rFonts w:ascii="微软雅黑" w:hAnsi="微软雅黑" w:eastAsia="微软雅黑"/>
          <w:color w:val="auto"/>
          <w:sz w:val="24"/>
          <w:szCs w:val="24"/>
        </w:rPr>
        <w:t>http://www.cdjg.gov.cn/Html/News/20140410/content_92_1100001530.html</w:t>
      </w:r>
      <w:r>
        <w:rPr>
          <w:rFonts w:ascii="微软雅黑" w:hAnsi="微软雅黑" w:eastAsia="微软雅黑"/>
          <w:color w:val="auto"/>
          <w:sz w:val="24"/>
          <w:szCs w:val="24"/>
        </w:rPr>
        <w:fldChar w:fldCharType="end"/>
      </w:r>
    </w:p>
    <w:p>
      <w:pPr>
        <w:pStyle w:val="28"/>
        <w:numPr>
          <w:ilvl w:val="0"/>
          <w:numId w:val="1"/>
        </w:numPr>
        <w:spacing w:line="480" w:lineRule="auto"/>
        <w:ind w:left="720" w:hanging="720" w:hangingChars="200"/>
        <w:outlineLvl w:val="0"/>
        <w:rPr>
          <w:rFonts w:ascii="微软雅黑" w:hAnsi="微软雅黑" w:eastAsia="微软雅黑"/>
          <w:b/>
          <w:color w:val="auto"/>
          <w:sz w:val="36"/>
          <w:szCs w:val="24"/>
          <w:lang w:eastAsia="zh-TW"/>
        </w:rPr>
      </w:pPr>
      <w:bookmarkStart w:id="6" w:name="_Toc475364382"/>
      <w:r>
        <w:rPr>
          <w:rFonts w:hint="eastAsia" w:ascii="微软雅黑" w:hAnsi="微软雅黑" w:eastAsia="微软雅黑"/>
          <w:b/>
          <w:color w:val="auto"/>
          <w:sz w:val="36"/>
          <w:szCs w:val="24"/>
        </w:rPr>
        <w:t>就业</w:t>
      </w:r>
      <w:bookmarkEnd w:id="6"/>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bookmarkStart w:id="7" w:name="_Toc374091255"/>
      <w:r>
        <w:rPr>
          <w:rFonts w:hint="eastAsia" w:ascii="微软雅黑" w:hAnsi="微软雅黑" w:eastAsia="微软雅黑"/>
          <w:b/>
          <w:color w:val="auto"/>
          <w:sz w:val="30"/>
          <w:szCs w:val="30"/>
          <w:u w:val="single"/>
          <w:lang w:eastAsia="zh-CN"/>
        </w:rPr>
        <w:t>港澳同胞</w:t>
      </w:r>
      <w:r>
        <w:rPr>
          <w:rFonts w:hint="eastAsia" w:ascii="微软雅黑" w:hAnsi="微软雅黑" w:eastAsia="微软雅黑"/>
          <w:b/>
          <w:color w:val="auto"/>
          <w:sz w:val="30"/>
          <w:szCs w:val="30"/>
          <w:u w:val="single"/>
        </w:rPr>
        <w:t>内地就业的形式</w:t>
      </w:r>
    </w:p>
    <w:p>
      <w:pPr>
        <w:autoSpaceDE w:val="0"/>
        <w:autoSpaceDN w:val="0"/>
        <w:adjustRightInd w:val="0"/>
        <w:spacing w:before="312" w:beforeLines="100" w:line="400" w:lineRule="exact"/>
        <w:rPr>
          <w:rFonts w:ascii="微软雅黑" w:hAnsi="微软雅黑" w:eastAsia="微软雅黑" w:cs="Times New Roman"/>
          <w:color w:val="auto"/>
          <w:sz w:val="24"/>
          <w:szCs w:val="24"/>
        </w:rPr>
      </w:pPr>
      <w:r>
        <w:rPr>
          <w:rFonts w:hint="eastAsia" w:ascii="微软雅黑" w:hAnsi="微软雅黑" w:eastAsia="微软雅黑" w:cs="Times New Roman"/>
          <w:color w:val="auto"/>
          <w:sz w:val="24"/>
          <w:szCs w:val="24"/>
          <w:lang w:eastAsia="zh-CN"/>
        </w:rPr>
        <w:t>港澳同胞</w:t>
      </w:r>
      <w:r>
        <w:rPr>
          <w:rFonts w:hint="eastAsia" w:ascii="微软雅黑" w:hAnsi="微软雅黑" w:eastAsia="微软雅黑" w:cs="Times New Roman"/>
          <w:color w:val="auto"/>
          <w:sz w:val="24"/>
          <w:szCs w:val="24"/>
        </w:rPr>
        <w:t>在内地就业的形式大致有三种：</w:t>
      </w:r>
    </w:p>
    <w:p>
      <w:pPr>
        <w:pStyle w:val="28"/>
        <w:numPr>
          <w:ilvl w:val="0"/>
          <w:numId w:val="7"/>
        </w:numPr>
        <w:autoSpaceDE w:val="0"/>
        <w:autoSpaceDN w:val="0"/>
        <w:adjustRightInd w:val="0"/>
        <w:spacing w:before="156" w:beforeLines="50"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内地用人单位直接雇用</w:t>
      </w: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：内地用人单位应当与被直接雇用的</w:t>
      </w: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签订劳动合同；</w:t>
      </w:r>
    </w:p>
    <w:p>
      <w:pPr>
        <w:pStyle w:val="28"/>
        <w:numPr>
          <w:ilvl w:val="0"/>
          <w:numId w:val="7"/>
        </w:numPr>
        <w:autoSpaceDE w:val="0"/>
        <w:autoSpaceDN w:val="0"/>
        <w:adjustRightInd w:val="0"/>
        <w:spacing w:before="156" w:beforeLines="50"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在内地从事个体经营的</w:t>
      </w: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w:t>
      </w:r>
    </w:p>
    <w:p>
      <w:pPr>
        <w:pStyle w:val="28"/>
        <w:numPr>
          <w:ilvl w:val="0"/>
          <w:numId w:val="7"/>
        </w:numPr>
        <w:autoSpaceDE w:val="0"/>
        <w:autoSpaceDN w:val="0"/>
        <w:adjustRightInd w:val="0"/>
        <w:spacing w:before="156" w:beforeLines="50"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境外或台港澳地区单位向内地单位派遣</w:t>
      </w: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w:t>
      </w:r>
      <w:bookmarkEnd w:id="7"/>
      <w:r>
        <w:rPr>
          <w:rFonts w:hint="eastAsia" w:ascii="微软雅黑" w:hAnsi="微软雅黑" w:eastAsia="微软雅黑"/>
          <w:color w:val="auto"/>
          <w:sz w:val="24"/>
          <w:szCs w:val="24"/>
        </w:rPr>
        <w:t>受境外单位派遣的</w:t>
      </w: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，不需要与接受派遣的境内单位建立劳动关系，但境外单位需要出具派遣证明，且境外单位应与境内单位签订派遣协议。</w:t>
      </w:r>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在内地就业应注意事项</w:t>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lang w:eastAsia="zh-TW"/>
        </w:rPr>
      </w:pPr>
      <w:r>
        <w:rPr>
          <w:rFonts w:hint="eastAsia" w:ascii="微软雅黑" w:hAnsi="微软雅黑" w:eastAsia="微软雅黑"/>
          <w:b/>
          <w:color w:val="auto"/>
          <w:sz w:val="24"/>
          <w:szCs w:val="24"/>
          <w:u w:val="single"/>
        </w:rPr>
        <w:t>就业条件</w:t>
      </w:r>
    </w:p>
    <w:p>
      <w:pPr>
        <w:autoSpaceDE w:val="0"/>
        <w:autoSpaceDN w:val="0"/>
        <w:adjustRightInd w:val="0"/>
        <w:spacing w:before="312" w:beforeLines="100" w:line="400" w:lineRule="exact"/>
        <w:rPr>
          <w:rFonts w:ascii="微软雅黑" w:hAnsi="微软雅黑" w:eastAsia="微软雅黑" w:cs="Times New Roman"/>
          <w:color w:val="auto"/>
          <w:sz w:val="24"/>
          <w:szCs w:val="24"/>
        </w:rPr>
      </w:pPr>
      <w:r>
        <w:rPr>
          <w:rFonts w:hint="eastAsia" w:ascii="微软雅黑" w:hAnsi="微软雅黑" w:eastAsia="微软雅黑" w:cs="Times New Roman"/>
          <w:color w:val="auto"/>
          <w:sz w:val="24"/>
          <w:szCs w:val="24"/>
        </w:rPr>
        <w:t>根据《台湾香港澳门居民在内地就业管理规定》（简称《就业管理规定》），内地用人单位拟聘雇或者接收被派遣的</w:t>
      </w:r>
      <w:r>
        <w:rPr>
          <w:rFonts w:hint="eastAsia" w:ascii="微软雅黑" w:hAnsi="微软雅黑" w:eastAsia="微软雅黑" w:cs="Times New Roman"/>
          <w:color w:val="auto"/>
          <w:sz w:val="24"/>
          <w:szCs w:val="24"/>
          <w:lang w:eastAsia="zh-CN"/>
        </w:rPr>
        <w:t>港澳同胞</w:t>
      </w:r>
      <w:r>
        <w:rPr>
          <w:rFonts w:hint="eastAsia" w:ascii="微软雅黑" w:hAnsi="微软雅黑" w:eastAsia="微软雅黑" w:cs="Times New Roman"/>
          <w:color w:val="auto"/>
          <w:sz w:val="24"/>
          <w:szCs w:val="24"/>
        </w:rPr>
        <w:t>应当具备下列条件：</w:t>
      </w:r>
    </w:p>
    <w:p>
      <w:pPr>
        <w:pStyle w:val="28"/>
        <w:numPr>
          <w:ilvl w:val="0"/>
          <w:numId w:val="8"/>
        </w:numPr>
        <w:autoSpaceDE w:val="0"/>
        <w:autoSpaceDN w:val="0"/>
        <w:adjustRightInd w:val="0"/>
        <w:spacing w:before="156" w:beforeLines="50"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年龄</w:t>
      </w:r>
      <w:r>
        <w:rPr>
          <w:rFonts w:ascii="微软雅黑" w:hAnsi="微软雅黑" w:eastAsia="微软雅黑"/>
          <w:color w:val="auto"/>
          <w:sz w:val="24"/>
          <w:szCs w:val="24"/>
        </w:rPr>
        <w:t>18</w:t>
      </w:r>
      <w:r>
        <w:rPr>
          <w:rFonts w:hint="eastAsia" w:ascii="微软雅黑" w:hAnsi="微软雅黑" w:eastAsia="微软雅黑"/>
          <w:color w:val="auto"/>
          <w:sz w:val="24"/>
          <w:szCs w:val="24"/>
        </w:rPr>
        <w:t>至</w:t>
      </w:r>
      <w:r>
        <w:rPr>
          <w:rFonts w:ascii="微软雅黑" w:hAnsi="微软雅黑" w:eastAsia="微软雅黑"/>
          <w:color w:val="auto"/>
          <w:sz w:val="24"/>
          <w:szCs w:val="24"/>
        </w:rPr>
        <w:t>60</w:t>
      </w:r>
      <w:r>
        <w:rPr>
          <w:rFonts w:hint="eastAsia" w:ascii="微软雅黑" w:hAnsi="微软雅黑" w:eastAsia="微软雅黑"/>
          <w:color w:val="auto"/>
          <w:sz w:val="24"/>
          <w:szCs w:val="24"/>
        </w:rPr>
        <w:t>周岁（直接参与经营的投资者和内地急需的专业技术人员可超过</w:t>
      </w:r>
      <w:r>
        <w:rPr>
          <w:rFonts w:ascii="微软雅黑" w:hAnsi="微软雅黑" w:eastAsia="微软雅黑"/>
          <w:color w:val="auto"/>
          <w:sz w:val="24"/>
          <w:szCs w:val="24"/>
        </w:rPr>
        <w:t>60</w:t>
      </w:r>
      <w:r>
        <w:rPr>
          <w:rFonts w:hint="eastAsia" w:ascii="微软雅黑" w:hAnsi="微软雅黑" w:eastAsia="微软雅黑"/>
          <w:color w:val="auto"/>
          <w:sz w:val="24"/>
          <w:szCs w:val="24"/>
        </w:rPr>
        <w:t>周岁）；</w:t>
      </w:r>
    </w:p>
    <w:p>
      <w:pPr>
        <w:pStyle w:val="28"/>
        <w:numPr>
          <w:ilvl w:val="0"/>
          <w:numId w:val="8"/>
        </w:numPr>
        <w:autoSpaceDE w:val="0"/>
        <w:autoSpaceDN w:val="0"/>
        <w:adjustRightInd w:val="0"/>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身体健康；</w:t>
      </w:r>
    </w:p>
    <w:p>
      <w:pPr>
        <w:pStyle w:val="28"/>
        <w:numPr>
          <w:ilvl w:val="0"/>
          <w:numId w:val="8"/>
        </w:numPr>
        <w:autoSpaceDE w:val="0"/>
        <w:autoSpaceDN w:val="0"/>
        <w:adjustRightInd w:val="0"/>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持有效旅行证件（回乡卡等）；以及</w:t>
      </w:r>
    </w:p>
    <w:p>
      <w:pPr>
        <w:pStyle w:val="28"/>
        <w:numPr>
          <w:ilvl w:val="0"/>
          <w:numId w:val="8"/>
        </w:numPr>
        <w:autoSpaceDE w:val="0"/>
        <w:autoSpaceDN w:val="0"/>
        <w:adjustRightInd w:val="0"/>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从事国家规定的职业（技术工种）的，应当按照国家有关规定，具有相应的资格证明等。</w:t>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lang w:eastAsia="zh-TW"/>
        </w:rPr>
      </w:pPr>
      <w:r>
        <w:rPr>
          <w:rFonts w:hint="eastAsia" w:ascii="微软雅黑" w:hAnsi="微软雅黑" w:eastAsia="微软雅黑"/>
          <w:b/>
          <w:color w:val="auto"/>
          <w:sz w:val="24"/>
          <w:szCs w:val="24"/>
          <w:u w:val="single"/>
        </w:rPr>
        <w:t>就业证</w:t>
      </w:r>
    </w:p>
    <w:p>
      <w:pPr>
        <w:autoSpaceDE w:val="0"/>
        <w:autoSpaceDN w:val="0"/>
        <w:adjustRightInd w:val="0"/>
        <w:spacing w:before="312" w:beforeLines="100" w:line="400" w:lineRule="exact"/>
        <w:rPr>
          <w:rFonts w:ascii="微软雅黑" w:hAnsi="微软雅黑" w:eastAsia="微软雅黑" w:cs="Times New Roman"/>
          <w:color w:val="auto"/>
          <w:sz w:val="24"/>
          <w:szCs w:val="24"/>
        </w:rPr>
      </w:pPr>
      <w:r>
        <w:rPr>
          <w:rFonts w:hint="eastAsia" w:ascii="微软雅黑" w:hAnsi="微软雅黑" w:eastAsia="微软雅黑" w:cs="Times New Roman"/>
          <w:color w:val="auto"/>
          <w:sz w:val="24"/>
          <w:szCs w:val="24"/>
        </w:rPr>
        <w:t>根据《就业管理规定》，</w:t>
      </w:r>
      <w:r>
        <w:rPr>
          <w:rFonts w:hint="eastAsia" w:ascii="微软雅黑" w:hAnsi="微软雅黑" w:eastAsia="微软雅黑" w:cs="Times New Roman"/>
          <w:color w:val="auto"/>
          <w:sz w:val="24"/>
          <w:szCs w:val="24"/>
          <w:lang w:eastAsia="zh-CN"/>
        </w:rPr>
        <w:t>港澳同胞</w:t>
      </w:r>
      <w:r>
        <w:rPr>
          <w:rFonts w:hint="eastAsia" w:ascii="微软雅黑" w:hAnsi="微软雅黑" w:eastAsia="微软雅黑" w:cs="Times New Roman"/>
          <w:color w:val="auto"/>
          <w:sz w:val="24"/>
          <w:szCs w:val="24"/>
        </w:rPr>
        <w:t>在内地工作需要办理《台港澳人员就业证》（简称「就业证」）。</w:t>
      </w:r>
    </w:p>
    <w:p>
      <w:pPr>
        <w:widowControl/>
        <w:autoSpaceDE w:val="0"/>
        <w:autoSpaceDN w:val="0"/>
        <w:adjustRightInd w:val="0"/>
        <w:spacing w:line="400" w:lineRule="exact"/>
        <w:rPr>
          <w:rFonts w:ascii="微软雅黑" w:hAnsi="微软雅黑" w:eastAsia="微软雅黑" w:cs="Times New Roman"/>
          <w:color w:val="auto"/>
          <w:sz w:val="24"/>
          <w:szCs w:val="24"/>
        </w:rPr>
      </w:pPr>
      <w:r>
        <w:rPr>
          <w:rFonts w:hint="eastAsia" w:ascii="微软雅黑" w:hAnsi="微软雅黑" w:eastAsia="微软雅黑" w:cs="Times New Roman"/>
          <w:color w:val="auto"/>
          <w:sz w:val="24"/>
          <w:szCs w:val="24"/>
        </w:rPr>
        <w:t>与境外或台港澳地区用人单位建立劳动关系并受其派遣到内地不足三个月的，不需要办理。境外派遣在一年内累计超过三个月的，与内地用人单位直接雇用一样，需要办理就业证。</w:t>
      </w:r>
    </w:p>
    <w:p>
      <w:pPr>
        <w:autoSpaceDE w:val="0"/>
        <w:autoSpaceDN w:val="0"/>
        <w:adjustRightInd w:val="0"/>
        <w:spacing w:line="400" w:lineRule="exact"/>
        <w:rPr>
          <w:rFonts w:ascii="微软雅黑" w:hAnsi="微软雅黑" w:eastAsia="微软雅黑" w:cs="Times New Roman"/>
          <w:color w:val="auto"/>
          <w:sz w:val="24"/>
          <w:szCs w:val="24"/>
        </w:rPr>
      </w:pPr>
    </w:p>
    <w:p>
      <w:pPr>
        <w:autoSpaceDE w:val="0"/>
        <w:autoSpaceDN w:val="0"/>
        <w:adjustRightInd w:val="0"/>
        <w:spacing w:line="400" w:lineRule="exact"/>
        <w:rPr>
          <w:rFonts w:ascii="微软雅黑" w:hAnsi="微软雅黑" w:eastAsia="微软雅黑" w:cs="Times New Roman"/>
          <w:color w:val="auto"/>
          <w:sz w:val="24"/>
          <w:szCs w:val="24"/>
        </w:rPr>
      </w:pPr>
      <w:r>
        <w:rPr>
          <w:rFonts w:hint="eastAsia" w:ascii="微软雅黑" w:hAnsi="微软雅黑" w:eastAsia="微软雅黑" w:cs="Times New Roman"/>
          <w:color w:val="auto"/>
          <w:sz w:val="24"/>
          <w:szCs w:val="24"/>
        </w:rPr>
        <w:t>成都市人力资源和社会保障局依据用人单位与</w:t>
      </w:r>
      <w:r>
        <w:rPr>
          <w:rFonts w:hint="eastAsia" w:ascii="微软雅黑" w:hAnsi="微软雅黑" w:eastAsia="微软雅黑" w:cs="Times New Roman"/>
          <w:color w:val="auto"/>
          <w:sz w:val="24"/>
          <w:szCs w:val="24"/>
          <w:lang w:eastAsia="zh-CN"/>
        </w:rPr>
        <w:t>港澳同胞</w:t>
      </w:r>
      <w:r>
        <w:rPr>
          <w:rFonts w:hint="eastAsia" w:ascii="微软雅黑" w:hAnsi="微软雅黑" w:eastAsia="微软雅黑" w:cs="Times New Roman"/>
          <w:color w:val="auto"/>
          <w:sz w:val="24"/>
          <w:szCs w:val="24"/>
        </w:rPr>
        <w:t>签订的劳动合同年限，派发</w:t>
      </w:r>
      <w:r>
        <w:rPr>
          <w:rFonts w:ascii="微软雅黑" w:hAnsi="微软雅黑" w:eastAsia="微软雅黑" w:cs="Times New Roman"/>
          <w:color w:val="auto"/>
          <w:sz w:val="24"/>
          <w:szCs w:val="24"/>
        </w:rPr>
        <w:t>5</w:t>
      </w:r>
      <w:r>
        <w:rPr>
          <w:rFonts w:hint="eastAsia" w:ascii="微软雅黑" w:hAnsi="微软雅黑" w:eastAsia="微软雅黑" w:cs="Times New Roman"/>
          <w:color w:val="auto"/>
          <w:sz w:val="24"/>
          <w:szCs w:val="24"/>
        </w:rPr>
        <w:t>年内有效的就业证。且在就业证办理后，</w:t>
      </w:r>
      <w:r>
        <w:rPr>
          <w:rFonts w:hint="eastAsia" w:ascii="微软雅黑" w:hAnsi="微软雅黑" w:eastAsia="微软雅黑" w:cs="Times New Roman"/>
          <w:color w:val="auto"/>
          <w:sz w:val="24"/>
          <w:szCs w:val="24"/>
          <w:lang w:eastAsia="zh-CN"/>
        </w:rPr>
        <w:t>港澳同胞</w:t>
      </w:r>
      <w:r>
        <w:rPr>
          <w:rFonts w:hint="eastAsia" w:ascii="微软雅黑" w:hAnsi="微软雅黑" w:eastAsia="微软雅黑" w:cs="Times New Roman"/>
          <w:color w:val="auto"/>
          <w:sz w:val="24"/>
          <w:szCs w:val="24"/>
        </w:rPr>
        <w:t>不用对在有效期内的就业证进行年检。用人单位聘用</w:t>
      </w:r>
      <w:r>
        <w:rPr>
          <w:rFonts w:hint="eastAsia" w:ascii="微软雅黑" w:hAnsi="微软雅黑" w:eastAsia="微软雅黑" w:cs="Times New Roman"/>
          <w:color w:val="auto"/>
          <w:sz w:val="24"/>
          <w:szCs w:val="24"/>
          <w:lang w:eastAsia="zh-CN"/>
        </w:rPr>
        <w:t>港澳同胞</w:t>
      </w:r>
      <w:r>
        <w:rPr>
          <w:rFonts w:hint="eastAsia" w:ascii="微软雅黑" w:hAnsi="微软雅黑" w:eastAsia="微软雅黑" w:cs="Times New Roman"/>
          <w:color w:val="auto"/>
          <w:sz w:val="24"/>
          <w:szCs w:val="24"/>
        </w:rPr>
        <w:t>期限届满拟继续聘用的，应在</w:t>
      </w:r>
      <w:r>
        <w:rPr>
          <w:rFonts w:hint="eastAsia" w:ascii="微软雅黑" w:hAnsi="微软雅黑" w:eastAsia="微软雅黑" w:cs="Times New Roman"/>
          <w:color w:val="auto"/>
          <w:sz w:val="24"/>
          <w:szCs w:val="24"/>
          <w:lang w:eastAsia="zh-CN"/>
        </w:rPr>
        <w:t>港澳同胞</w:t>
      </w:r>
      <w:r>
        <w:rPr>
          <w:rFonts w:hint="eastAsia" w:ascii="微软雅黑" w:hAnsi="微软雅黑" w:eastAsia="微软雅黑" w:cs="Times New Roman"/>
          <w:color w:val="auto"/>
          <w:sz w:val="24"/>
          <w:szCs w:val="24"/>
        </w:rPr>
        <w:t>就业证期限届满以前，前往成都市人力资源和社会保障局申请续办，若逾期不进行申请的，其就业证将自行失效。</w:t>
      </w:r>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办理《台港澳人员就业证》（就业证）</w:t>
      </w:r>
    </w:p>
    <w:p>
      <w:pPr>
        <w:autoSpaceDE w:val="0"/>
        <w:autoSpaceDN w:val="0"/>
        <w:adjustRightInd w:val="0"/>
        <w:spacing w:before="312" w:beforeLines="100" w:line="400" w:lineRule="exact"/>
        <w:rPr>
          <w:rFonts w:ascii="微软雅黑" w:hAnsi="微软雅黑" w:eastAsia="微软雅黑" w:cs="Times New Roman"/>
          <w:color w:val="auto"/>
          <w:sz w:val="24"/>
          <w:szCs w:val="24"/>
        </w:rPr>
      </w:pPr>
      <w:r>
        <w:rPr>
          <w:rFonts w:hint="eastAsia" w:ascii="微软雅黑" w:hAnsi="微软雅黑" w:eastAsia="微软雅黑" w:cs="Times New Roman"/>
          <w:color w:val="auto"/>
          <w:sz w:val="24"/>
          <w:szCs w:val="24"/>
        </w:rPr>
        <w:t>用人单位拟聘雇或接受被派遣</w:t>
      </w:r>
      <w:r>
        <w:rPr>
          <w:rFonts w:hint="eastAsia" w:ascii="微软雅黑" w:hAnsi="微软雅黑" w:eastAsia="微软雅黑" w:cs="Times New Roman"/>
          <w:color w:val="auto"/>
          <w:sz w:val="24"/>
          <w:szCs w:val="24"/>
          <w:lang w:eastAsia="zh-CN"/>
        </w:rPr>
        <w:t>港澳同胞</w:t>
      </w:r>
      <w:r>
        <w:rPr>
          <w:rFonts w:hint="eastAsia" w:ascii="微软雅黑" w:hAnsi="微软雅黑" w:eastAsia="微软雅黑" w:cs="Times New Roman"/>
          <w:color w:val="auto"/>
          <w:sz w:val="24"/>
          <w:szCs w:val="24"/>
        </w:rPr>
        <w:t>的，应当为其办理就业证，而在内地从事个体工商经营的，应当由本人办理就业证。</w:t>
      </w:r>
    </w:p>
    <w:p>
      <w:pPr>
        <w:autoSpaceDE w:val="0"/>
        <w:autoSpaceDN w:val="0"/>
        <w:adjustRightInd w:val="0"/>
        <w:spacing w:line="400" w:lineRule="exact"/>
        <w:rPr>
          <w:rFonts w:ascii="微软雅黑" w:hAnsi="微软雅黑" w:eastAsia="微软雅黑" w:cs="Times New Roman"/>
          <w:color w:val="auto"/>
          <w:sz w:val="24"/>
          <w:szCs w:val="24"/>
        </w:rPr>
      </w:pPr>
    </w:p>
    <w:p>
      <w:pPr>
        <w:widowControl/>
        <w:autoSpaceDE w:val="0"/>
        <w:autoSpaceDN w:val="0"/>
        <w:adjustRightInd w:val="0"/>
        <w:spacing w:line="400" w:lineRule="exact"/>
        <w:rPr>
          <w:rFonts w:ascii="微软雅黑" w:hAnsi="微软雅黑" w:eastAsia="微软雅黑" w:cs="Times New Roman"/>
          <w:color w:val="auto"/>
          <w:sz w:val="24"/>
          <w:szCs w:val="24"/>
        </w:rPr>
      </w:pPr>
      <w:r>
        <w:rPr>
          <w:rFonts w:hint="eastAsia" w:ascii="微软雅黑" w:hAnsi="微软雅黑" w:eastAsia="微软雅黑" w:cs="Times New Roman"/>
          <w:color w:val="auto"/>
          <w:sz w:val="24"/>
          <w:szCs w:val="24"/>
        </w:rPr>
        <w:t>用人单位为</w:t>
      </w:r>
      <w:r>
        <w:rPr>
          <w:rFonts w:hint="eastAsia" w:ascii="微软雅黑" w:hAnsi="微软雅黑" w:eastAsia="微软雅黑" w:cs="Times New Roman"/>
          <w:color w:val="auto"/>
          <w:sz w:val="24"/>
          <w:szCs w:val="24"/>
          <w:lang w:eastAsia="zh-CN"/>
        </w:rPr>
        <w:t>港澳同胞</w:t>
      </w:r>
      <w:r>
        <w:rPr>
          <w:rFonts w:hint="eastAsia" w:ascii="微软雅黑" w:hAnsi="微软雅黑" w:eastAsia="微软雅黑" w:cs="Times New Roman"/>
          <w:color w:val="auto"/>
          <w:sz w:val="24"/>
          <w:szCs w:val="24"/>
        </w:rPr>
        <w:t>申请办理就业证，应当向成都市人力资源和社会保障局提交申请材料，主要包括</w:t>
      </w:r>
      <w:r>
        <w:rPr>
          <w:rFonts w:hint="eastAsia" w:ascii="微软雅黑" w:hAnsi="微软雅黑" w:eastAsia="微软雅黑" w:cs="Times New Roman"/>
          <w:color w:val="auto"/>
          <w:sz w:val="24"/>
          <w:szCs w:val="24"/>
          <w:lang w:eastAsia="zh-CN"/>
        </w:rPr>
        <w:t>港澳同胞</w:t>
      </w:r>
      <w:r>
        <w:rPr>
          <w:rFonts w:hint="eastAsia" w:ascii="微软雅黑" w:hAnsi="微软雅黑" w:eastAsia="微软雅黑" w:cs="Times New Roman"/>
          <w:color w:val="auto"/>
          <w:sz w:val="24"/>
          <w:szCs w:val="24"/>
        </w:rPr>
        <w:t>的健康状况证明、学历证明、港澳居民来往内地通行证及劳动合同等。</w:t>
      </w:r>
    </w:p>
    <w:p>
      <w:pPr>
        <w:autoSpaceDE w:val="0"/>
        <w:autoSpaceDN w:val="0"/>
        <w:adjustRightInd w:val="0"/>
        <w:spacing w:line="400" w:lineRule="exact"/>
        <w:rPr>
          <w:rFonts w:ascii="微软雅黑" w:hAnsi="微软雅黑" w:eastAsia="微软雅黑" w:cs="Times New Roman"/>
          <w:color w:val="auto"/>
          <w:sz w:val="24"/>
          <w:szCs w:val="24"/>
        </w:rPr>
      </w:pPr>
    </w:p>
    <w:p>
      <w:pPr>
        <w:autoSpaceDE w:val="0"/>
        <w:autoSpaceDN w:val="0"/>
        <w:adjustRightInd w:val="0"/>
        <w:spacing w:line="400" w:lineRule="exact"/>
        <w:rPr>
          <w:rFonts w:ascii="微软雅黑" w:hAnsi="微软雅黑" w:eastAsia="微软雅黑" w:cs="Times New Roman"/>
          <w:color w:val="auto"/>
          <w:sz w:val="24"/>
          <w:szCs w:val="24"/>
        </w:rPr>
      </w:pPr>
      <w:r>
        <w:rPr>
          <w:rFonts w:hint="eastAsia" w:ascii="微软雅黑" w:hAnsi="微软雅黑" w:eastAsia="微软雅黑" w:cs="Times New Roman"/>
          <w:color w:val="auto"/>
          <w:sz w:val="24"/>
          <w:szCs w:val="24"/>
        </w:rPr>
        <w:t>而在内地从事个体工商经营的</w:t>
      </w:r>
      <w:r>
        <w:rPr>
          <w:rFonts w:hint="eastAsia" w:ascii="微软雅黑" w:hAnsi="微软雅黑" w:eastAsia="微软雅黑" w:cs="Times New Roman"/>
          <w:color w:val="auto"/>
          <w:sz w:val="24"/>
          <w:szCs w:val="24"/>
          <w:lang w:eastAsia="zh-CN"/>
        </w:rPr>
        <w:t>港澳同胞</w:t>
      </w:r>
      <w:r>
        <w:rPr>
          <w:rFonts w:hint="eastAsia" w:ascii="微软雅黑" w:hAnsi="微软雅黑" w:eastAsia="微软雅黑" w:cs="Times New Roman"/>
          <w:color w:val="auto"/>
          <w:sz w:val="24"/>
          <w:szCs w:val="24"/>
        </w:rPr>
        <w:t>，则应由本人向成都市人力资源和社会保障局提交申请和有效文件，包括个体经营执照、健康状况证明和回乡卡等。</w:t>
      </w:r>
    </w:p>
    <w:p>
      <w:pPr>
        <w:autoSpaceDE w:val="0"/>
        <w:autoSpaceDN w:val="0"/>
        <w:adjustRightInd w:val="0"/>
        <w:spacing w:line="400" w:lineRule="exact"/>
        <w:rPr>
          <w:rFonts w:ascii="微软雅黑" w:hAnsi="微软雅黑" w:eastAsia="微软雅黑" w:cs="Times New Roman"/>
          <w:color w:val="auto"/>
          <w:sz w:val="24"/>
          <w:szCs w:val="24"/>
        </w:rPr>
      </w:pPr>
    </w:p>
    <w:p>
      <w:pPr>
        <w:autoSpaceDE w:val="0"/>
        <w:autoSpaceDN w:val="0"/>
        <w:adjustRightInd w:val="0"/>
        <w:spacing w:line="400" w:lineRule="exact"/>
        <w:rPr>
          <w:rFonts w:ascii="微软雅黑" w:hAnsi="微软雅黑" w:eastAsia="微软雅黑" w:cs="Times New Roman"/>
          <w:color w:val="auto"/>
          <w:sz w:val="24"/>
          <w:szCs w:val="24"/>
        </w:rPr>
      </w:pPr>
      <w:r>
        <w:rPr>
          <w:rFonts w:hint="eastAsia" w:ascii="微软雅黑" w:hAnsi="微软雅黑" w:eastAsia="微软雅黑" w:cs="Times New Roman"/>
          <w:color w:val="auto"/>
          <w:sz w:val="24"/>
          <w:szCs w:val="24"/>
        </w:rPr>
        <w:t>在国内其他城市办理过就业证的，应交回原就业证。申请办理就业证注销的，须提供申请书和就业证。</w:t>
      </w:r>
    </w:p>
    <w:p>
      <w:pPr>
        <w:autoSpaceDE w:val="0"/>
        <w:autoSpaceDN w:val="0"/>
        <w:adjustRightInd w:val="0"/>
        <w:spacing w:line="400" w:lineRule="exact"/>
        <w:rPr>
          <w:rFonts w:ascii="微软雅黑" w:hAnsi="微软雅黑" w:eastAsia="微软雅黑" w:cs="Times New Roman"/>
          <w:color w:val="auto"/>
          <w:sz w:val="24"/>
          <w:szCs w:val="24"/>
        </w:rPr>
      </w:pPr>
    </w:p>
    <w:p>
      <w:pPr>
        <w:autoSpaceDE w:val="0"/>
        <w:autoSpaceDN w:val="0"/>
        <w:adjustRightInd w:val="0"/>
        <w:spacing w:line="400" w:lineRule="exact"/>
        <w:jc w:val="left"/>
        <w:rPr>
          <w:rFonts w:ascii="微软雅黑" w:hAnsi="微软雅黑" w:eastAsia="微软雅黑" w:cs="Times New Roman"/>
          <w:color w:val="auto"/>
          <w:sz w:val="24"/>
          <w:szCs w:val="24"/>
          <w:lang w:eastAsia="zh-TW"/>
        </w:rPr>
      </w:pPr>
      <w:r>
        <w:rPr>
          <w:rFonts w:hint="eastAsia" w:ascii="微软雅黑" w:hAnsi="微软雅黑" w:eastAsia="微软雅黑" w:cs="Times New Roman"/>
          <w:color w:val="auto"/>
          <w:sz w:val="24"/>
          <w:szCs w:val="24"/>
        </w:rPr>
        <w:t>详细办理方法可咨询成都市人力资源和社会保障局（电话：</w:t>
      </w:r>
      <w:r>
        <w:rPr>
          <w:rFonts w:ascii="微软雅黑" w:hAnsi="微软雅黑" w:eastAsia="微软雅黑" w:cs="Times New Roman"/>
          <w:color w:val="auto"/>
          <w:sz w:val="24"/>
          <w:szCs w:val="24"/>
        </w:rPr>
        <w:t>(028)12333</w:t>
      </w:r>
      <w:r>
        <w:rPr>
          <w:rFonts w:hint="eastAsia" w:ascii="微软雅黑" w:hAnsi="微软雅黑" w:eastAsia="微软雅黑" w:cs="Times New Roman"/>
          <w:color w:val="auto"/>
          <w:sz w:val="24"/>
          <w:szCs w:val="24"/>
        </w:rPr>
        <w:t>，网站</w:t>
      </w:r>
      <w:r>
        <w:rPr>
          <w:color w:val="auto"/>
        </w:rPr>
        <w:fldChar w:fldCharType="begin"/>
      </w:r>
      <w:r>
        <w:rPr>
          <w:color w:val="auto"/>
        </w:rPr>
        <w:instrText xml:space="preserve"> HYPERLINK "http://www.cdhrss.gov.cn" </w:instrText>
      </w:r>
      <w:r>
        <w:rPr>
          <w:color w:val="auto"/>
        </w:rPr>
        <w:fldChar w:fldCharType="separate"/>
      </w:r>
      <w:r>
        <w:rPr>
          <w:rFonts w:ascii="微软雅黑" w:hAnsi="微软雅黑" w:eastAsia="微软雅黑" w:cs="Times New Roman"/>
          <w:color w:val="auto"/>
          <w:sz w:val="24"/>
          <w:szCs w:val="24"/>
        </w:rPr>
        <w:t>http://www.cdhrss.gov.cn</w:t>
      </w:r>
      <w:r>
        <w:rPr>
          <w:rFonts w:ascii="微软雅黑" w:hAnsi="微软雅黑" w:eastAsia="微软雅黑" w:cs="Times New Roman"/>
          <w:color w:val="auto"/>
          <w:sz w:val="24"/>
          <w:szCs w:val="24"/>
        </w:rPr>
        <w:fldChar w:fldCharType="end"/>
      </w:r>
      <w:r>
        <w:rPr>
          <w:rFonts w:hint="eastAsia" w:ascii="微软雅黑" w:hAnsi="微软雅黑" w:eastAsia="微软雅黑" w:cs="Times New Roman"/>
          <w:color w:val="auto"/>
          <w:sz w:val="24"/>
          <w:szCs w:val="24"/>
        </w:rPr>
        <w:t>）。</w:t>
      </w:r>
    </w:p>
    <w:p>
      <w:pPr>
        <w:pStyle w:val="28"/>
        <w:numPr>
          <w:ilvl w:val="0"/>
          <w:numId w:val="2"/>
        </w:numPr>
        <w:spacing w:before="468" w:beforeLines="15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没有办理就业证的罚则</w:t>
      </w:r>
    </w:p>
    <w:p>
      <w:pPr>
        <w:autoSpaceDE w:val="0"/>
        <w:autoSpaceDN w:val="0"/>
        <w:adjustRightInd w:val="0"/>
        <w:spacing w:before="312" w:beforeLines="100" w:line="400" w:lineRule="exact"/>
        <w:rPr>
          <w:rFonts w:ascii="微软雅黑" w:hAnsi="微软雅黑" w:eastAsia="微软雅黑"/>
          <w:color w:val="auto"/>
          <w:sz w:val="24"/>
          <w:szCs w:val="24"/>
        </w:rPr>
      </w:pPr>
      <w:r>
        <w:rPr>
          <w:rFonts w:hint="eastAsia" w:ascii="微软雅黑" w:hAnsi="微软雅黑" w:eastAsia="微软雅黑" w:cs="Times New Roman"/>
          <w:color w:val="auto"/>
          <w:sz w:val="24"/>
          <w:szCs w:val="24"/>
        </w:rPr>
        <w:t>根据《就业管理规定》</w:t>
      </w:r>
      <w:r>
        <w:rPr>
          <w:rFonts w:hint="eastAsia" w:ascii="微软雅黑" w:hAnsi="微软雅黑" w:eastAsia="微软雅黑"/>
          <w:color w:val="auto"/>
          <w:sz w:val="24"/>
          <w:szCs w:val="24"/>
        </w:rPr>
        <w:t>，若用人单位聘雇或者接受被派遣的</w:t>
      </w: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，未为其办理就业证或未办理备案手续的，劳动保障行政部门将责令其改正，并可以处</w:t>
      </w:r>
      <w:r>
        <w:rPr>
          <w:rFonts w:ascii="微软雅黑" w:hAnsi="微软雅黑" w:eastAsia="微软雅黑"/>
          <w:color w:val="auto"/>
          <w:sz w:val="24"/>
          <w:szCs w:val="24"/>
        </w:rPr>
        <w:t>1,000</w:t>
      </w:r>
      <w:r>
        <w:rPr>
          <w:rFonts w:hint="eastAsia" w:ascii="微软雅黑" w:hAnsi="微软雅黑" w:eastAsia="微软雅黑"/>
          <w:color w:val="auto"/>
          <w:sz w:val="24"/>
          <w:szCs w:val="24"/>
        </w:rPr>
        <w:t>元罚款。</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若与用人单位终止、解除劳动合同，或任职期满，用人单位未办理就业证注销手续的，劳动保障行政部门将责令其改正，并可以处</w:t>
      </w:r>
      <w:r>
        <w:rPr>
          <w:rFonts w:ascii="微软雅黑" w:hAnsi="微软雅黑" w:eastAsia="微软雅黑"/>
          <w:color w:val="auto"/>
          <w:sz w:val="24"/>
          <w:szCs w:val="24"/>
        </w:rPr>
        <w:t>1,000</w:t>
      </w:r>
      <w:r>
        <w:rPr>
          <w:rFonts w:hint="eastAsia" w:ascii="微软雅黑" w:hAnsi="微软雅黑" w:eastAsia="微软雅黑"/>
          <w:color w:val="auto"/>
          <w:sz w:val="24"/>
          <w:szCs w:val="24"/>
        </w:rPr>
        <w:t>元罚款。</w:t>
      </w:r>
    </w:p>
    <w:p>
      <w:pPr>
        <w:spacing w:before="468" w:beforeLines="150" w:line="400" w:lineRule="exact"/>
        <w:rPr>
          <w:rFonts w:ascii="微软雅黑" w:hAnsi="微软雅黑" w:eastAsia="微软雅黑" w:cs="Times New Roman"/>
          <w:b/>
          <w:color w:val="auto"/>
          <w:sz w:val="24"/>
          <w:szCs w:val="24"/>
        </w:rPr>
      </w:pPr>
      <w:r>
        <w:rPr>
          <w:rFonts w:hint="eastAsia" w:ascii="微软雅黑" w:hAnsi="微软雅黑" w:eastAsia="微软雅黑" w:cs="Times New Roman"/>
          <w:b/>
          <w:color w:val="auto"/>
          <w:sz w:val="24"/>
          <w:szCs w:val="24"/>
        </w:rPr>
        <w:t>《就业协议书》及《就业报到证》</w:t>
      </w:r>
    </w:p>
    <w:p>
      <w:pPr>
        <w:autoSpaceDE w:val="0"/>
        <w:autoSpaceDN w:val="0"/>
        <w:adjustRightInd w:val="0"/>
        <w:spacing w:before="312" w:beforeLines="100" w:line="400" w:lineRule="exact"/>
        <w:rPr>
          <w:rFonts w:ascii="微软雅黑" w:hAnsi="微软雅黑" w:eastAsia="微软雅黑" w:cs="Times New Roman"/>
          <w:color w:val="auto"/>
          <w:sz w:val="24"/>
          <w:szCs w:val="24"/>
        </w:rPr>
      </w:pPr>
      <w:r>
        <w:rPr>
          <w:rFonts w:ascii="微软雅黑" w:hAnsi="微软雅黑" w:eastAsia="微软雅黑" w:cs="Times New Roman"/>
          <w:color w:val="auto"/>
          <w:sz w:val="24"/>
          <w:szCs w:val="24"/>
        </w:rPr>
        <w:t>2017</w:t>
      </w:r>
      <w:r>
        <w:rPr>
          <w:rFonts w:hint="eastAsia" w:ascii="微软雅黑" w:hAnsi="微软雅黑" w:eastAsia="微软雅黑" w:cs="Times New Roman"/>
          <w:color w:val="auto"/>
          <w:sz w:val="24"/>
          <w:szCs w:val="24"/>
        </w:rPr>
        <w:t>年</w:t>
      </w:r>
      <w:r>
        <w:rPr>
          <w:rFonts w:ascii="微软雅黑" w:hAnsi="微软雅黑" w:eastAsia="微软雅黑" w:cs="Times New Roman"/>
          <w:color w:val="auto"/>
          <w:sz w:val="24"/>
          <w:szCs w:val="24"/>
        </w:rPr>
        <w:t>6</w:t>
      </w:r>
      <w:r>
        <w:rPr>
          <w:rFonts w:hint="eastAsia" w:ascii="微软雅黑" w:hAnsi="微软雅黑" w:eastAsia="微软雅黑" w:cs="Times New Roman"/>
          <w:color w:val="auto"/>
          <w:sz w:val="24"/>
          <w:szCs w:val="24"/>
        </w:rPr>
        <w:t>月，教育部印发了《教育部办公厅关于做好在内地（祖国大陆）普通高校就读的港澳应届毕业生就业服务工作的通知》，提供就业信息服务，开展对他们的就业指导，为有就业意愿且符合条件的港澳毕业生发放《就业协议书》，签发《全国普通高等学校本专科毕业生就业报到证》或《全国毕业研究生就业报到证》，为港澳学生在内地就业提供更多便利。</w:t>
      </w:r>
    </w:p>
    <w:p>
      <w:pPr>
        <w:spacing w:line="400" w:lineRule="exact"/>
        <w:rPr>
          <w:rFonts w:ascii="微软雅黑" w:hAnsi="微软雅黑" w:eastAsia="微软雅黑"/>
          <w:color w:val="auto"/>
          <w:sz w:val="24"/>
          <w:szCs w:val="24"/>
        </w:rPr>
      </w:pPr>
    </w:p>
    <w:p>
      <w:pPr>
        <w:pStyle w:val="28"/>
        <w:numPr>
          <w:ilvl w:val="0"/>
          <w:numId w:val="2"/>
        </w:numPr>
        <w:spacing w:before="468" w:beforeLines="15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社会保险</w:t>
      </w:r>
    </w:p>
    <w:p>
      <w:pPr>
        <w:autoSpaceDE w:val="0"/>
        <w:autoSpaceDN w:val="0"/>
        <w:adjustRightInd w:val="0"/>
        <w:spacing w:before="218" w:beforeLines="7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依照《就业管理规定》，内地用人单位与聘雇的</w:t>
      </w: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应当签订劳动合同，应按照《社会保险费征缴暂行条例》的规定缴纳社会保险费。参加社会保险的情况可以分为三种：</w:t>
      </w:r>
    </w:p>
    <w:p>
      <w:pPr>
        <w:pStyle w:val="28"/>
        <w:numPr>
          <w:ilvl w:val="0"/>
          <w:numId w:val="9"/>
        </w:numPr>
        <w:autoSpaceDE w:val="0"/>
        <w:autoSpaceDN w:val="0"/>
        <w:adjustRightInd w:val="0"/>
        <w:spacing w:before="156" w:beforeLines="50" w:line="36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在内地就业，与用人单位签订劳动合同的，应当参加用人单位所在地的社会保险；</w:t>
      </w:r>
    </w:p>
    <w:p>
      <w:pPr>
        <w:pStyle w:val="28"/>
        <w:numPr>
          <w:ilvl w:val="0"/>
          <w:numId w:val="9"/>
        </w:numPr>
        <w:autoSpaceDE w:val="0"/>
        <w:autoSpaceDN w:val="0"/>
        <w:adjustRightInd w:val="0"/>
        <w:spacing w:before="78" w:beforeLines="25" w:line="36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在内地从事个体经营的，应按照相关法律法规为其雇员缴纳社会保险；</w:t>
      </w:r>
    </w:p>
    <w:p>
      <w:pPr>
        <w:pStyle w:val="28"/>
        <w:numPr>
          <w:ilvl w:val="0"/>
          <w:numId w:val="9"/>
        </w:numPr>
        <w:spacing w:before="78" w:beforeLines="25" w:line="36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与境外或港澳台用人单位建立劳动关系、并派驻到内地任职的，如果没有直接与内地用人单位签订劳动合同，可以不参加当地的社会保险。</w:t>
      </w:r>
    </w:p>
    <w:p>
      <w:pPr>
        <w:spacing w:line="400" w:lineRule="exact"/>
        <w:rPr>
          <w:rFonts w:ascii="微软雅黑" w:hAnsi="微软雅黑" w:eastAsia="微软雅黑"/>
          <w:color w:val="auto"/>
          <w:sz w:val="24"/>
          <w:szCs w:val="24"/>
        </w:rPr>
      </w:pPr>
    </w:p>
    <w:p>
      <w:pPr>
        <w:widowControl/>
        <w:spacing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然而，在执行上每个地区的具体执行政策不一。有关在成都的执行情况，可咨询成都市人力资源和社会保障局（电话</w:t>
      </w:r>
      <w:r>
        <w:rPr>
          <w:rFonts w:hint="eastAsia" w:ascii="微软雅黑" w:hAnsi="微软雅黑" w:eastAsia="微软雅黑" w:cs="Times New Roman"/>
          <w:color w:val="auto"/>
          <w:sz w:val="24"/>
          <w:szCs w:val="24"/>
        </w:rPr>
        <w:t>：</w:t>
      </w:r>
      <w:r>
        <w:rPr>
          <w:rFonts w:ascii="微软雅黑" w:hAnsi="微软雅黑" w:eastAsia="微软雅黑"/>
          <w:color w:val="auto"/>
          <w:sz w:val="24"/>
          <w:szCs w:val="24"/>
        </w:rPr>
        <w:t>(028)12333</w:t>
      </w:r>
      <w:r>
        <w:rPr>
          <w:rFonts w:hint="eastAsia" w:ascii="微软雅黑" w:hAnsi="微软雅黑" w:eastAsia="微软雅黑"/>
          <w:color w:val="auto"/>
          <w:sz w:val="24"/>
          <w:szCs w:val="24"/>
        </w:rPr>
        <w:t>，网站</w:t>
      </w:r>
      <w:r>
        <w:rPr>
          <w:rFonts w:hint="eastAsia" w:ascii="微软雅黑" w:hAnsi="微软雅黑" w:eastAsia="微软雅黑" w:cs="Times New Roman"/>
          <w:color w:val="auto"/>
          <w:sz w:val="24"/>
          <w:szCs w:val="24"/>
        </w:rPr>
        <w:t>：</w:t>
      </w:r>
      <w:r>
        <w:rPr>
          <w:color w:val="auto"/>
        </w:rPr>
        <w:fldChar w:fldCharType="begin"/>
      </w:r>
      <w:r>
        <w:rPr>
          <w:color w:val="auto"/>
        </w:rPr>
        <w:instrText xml:space="preserve"> HYPERLINK "http://www.cdhrss.gov.cn" </w:instrText>
      </w:r>
      <w:r>
        <w:rPr>
          <w:color w:val="auto"/>
        </w:rPr>
        <w:fldChar w:fldCharType="separate"/>
      </w:r>
      <w:r>
        <w:rPr>
          <w:rFonts w:ascii="微软雅黑" w:hAnsi="微软雅黑" w:eastAsia="微软雅黑"/>
          <w:color w:val="auto"/>
          <w:sz w:val="24"/>
          <w:szCs w:val="24"/>
        </w:rPr>
        <w:t>http://www.cdhrss.gov.cn</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w:t>
      </w:r>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住房福利</w:t>
      </w:r>
    </w:p>
    <w:p>
      <w:pPr>
        <w:autoSpaceDE w:val="0"/>
        <w:autoSpaceDN w:val="0"/>
        <w:adjustRightInd w:val="0"/>
        <w:spacing w:before="312" w:beforeLines="100" w:line="400" w:lineRule="exact"/>
        <w:rPr>
          <w:rFonts w:ascii="微软雅黑" w:hAnsi="微软雅黑" w:eastAsia="微软雅黑"/>
          <w:color w:val="auto"/>
          <w:sz w:val="24"/>
          <w:szCs w:val="24"/>
        </w:rPr>
      </w:pPr>
      <w:r>
        <w:rPr>
          <w:rFonts w:ascii="微软雅黑" w:hAnsi="微软雅黑" w:eastAsia="微软雅黑"/>
          <w:color w:val="auto"/>
          <w:sz w:val="24"/>
          <w:szCs w:val="24"/>
        </w:rPr>
        <w:t>2017</w:t>
      </w:r>
      <w:r>
        <w:rPr>
          <w:rFonts w:hint="eastAsia" w:ascii="微软雅黑" w:hAnsi="微软雅黑" w:eastAsia="微软雅黑"/>
          <w:color w:val="auto"/>
          <w:sz w:val="24"/>
          <w:szCs w:val="24"/>
        </w:rPr>
        <w:t>年</w:t>
      </w:r>
      <w:r>
        <w:rPr>
          <w:rFonts w:ascii="微软雅黑" w:hAnsi="微软雅黑" w:eastAsia="微软雅黑"/>
          <w:color w:val="auto"/>
          <w:sz w:val="24"/>
          <w:szCs w:val="24"/>
        </w:rPr>
        <w:t>11</w:t>
      </w:r>
      <w:r>
        <w:rPr>
          <w:rFonts w:hint="eastAsia" w:ascii="微软雅黑" w:hAnsi="微软雅黑" w:eastAsia="微软雅黑"/>
          <w:color w:val="auto"/>
          <w:sz w:val="24"/>
          <w:szCs w:val="24"/>
        </w:rPr>
        <w:t>月，住房城乡建设部、财政部、中国人民银行、国务院港澳事务办公室及国务院台湾事务办公室联合制定了《关于在内地（大陆）就业的港澳台同胞享有住房公积金待遇有关问题的意见》</w:t>
      </w:r>
      <w:r>
        <w:rPr>
          <w:rFonts w:ascii="微软雅黑" w:hAnsi="微软雅黑" w:eastAsia="微软雅黑"/>
          <w:color w:val="auto"/>
          <w:sz w:val="24"/>
          <w:szCs w:val="24"/>
        </w:rPr>
        <w:t>(</w:t>
      </w:r>
      <w:r>
        <w:rPr>
          <w:rFonts w:hint="eastAsia" w:ascii="微软雅黑" w:hAnsi="微软雅黑" w:eastAsia="微软雅黑"/>
          <w:color w:val="auto"/>
          <w:sz w:val="24"/>
          <w:szCs w:val="24"/>
        </w:rPr>
        <w:t>《意见》</w:t>
      </w:r>
      <w:r>
        <w:rPr>
          <w:rFonts w:ascii="微软雅黑" w:hAnsi="微软雅黑" w:eastAsia="微软雅黑"/>
          <w:color w:val="auto"/>
          <w:sz w:val="24"/>
          <w:szCs w:val="24"/>
        </w:rPr>
        <w:t>)</w:t>
      </w:r>
      <w:r>
        <w:rPr>
          <w:rFonts w:hint="eastAsia" w:ascii="微软雅黑" w:hAnsi="微软雅黑" w:eastAsia="微软雅黑"/>
          <w:color w:val="auto"/>
          <w:sz w:val="24"/>
          <w:szCs w:val="24"/>
        </w:rPr>
        <w:t>，全国各地住房公积金中心将按《意见》要求出台具体实施办法，细化政策规定。根据这一政策，在内地就业的港澳同胞，均可按照内地《住房公积金管理条例》和相关政策的规定缴存住房公积金。缴存基数、缴存比例、办理流程等实行与内地缴存职工一致的政策规定。已缴存住房公积金的港澳同胞，与内地缴存职工同等享有提取个人住房公积金、申请住房公积金个人住房贷款等权利。在内地跨城市就业的，可以办理住房公积金异地转接手续。与用人单位解除或终止劳动（聘用）关系并返回港澳的，可以按照相关规定提取个人住房公积金账户余额。有关《意见》的具体内容，请参阅国务院港澳事务办公室的公告：</w:t>
      </w:r>
    </w:p>
    <w:p>
      <w:pPr>
        <w:widowControl/>
        <w:spacing w:line="400" w:lineRule="exact"/>
        <w:jc w:val="left"/>
        <w:rPr>
          <w:rFonts w:ascii="微软雅黑" w:hAnsi="微软雅黑" w:eastAsia="微软雅黑"/>
          <w:color w:val="auto"/>
          <w:sz w:val="24"/>
          <w:szCs w:val="24"/>
        </w:rPr>
      </w:pPr>
      <w:r>
        <w:rPr>
          <w:color w:val="auto"/>
        </w:rPr>
        <w:fldChar w:fldCharType="begin"/>
      </w:r>
      <w:r>
        <w:rPr>
          <w:color w:val="auto"/>
        </w:rPr>
        <w:instrText xml:space="preserve"> HYPERLINK "http://www.hmo.gov.cn/xwzx/zwyw/201712/t20171213_1602.html" </w:instrText>
      </w:r>
      <w:r>
        <w:rPr>
          <w:color w:val="auto"/>
        </w:rPr>
        <w:fldChar w:fldCharType="separate"/>
      </w:r>
      <w:r>
        <w:rPr>
          <w:rFonts w:ascii="微软雅黑" w:hAnsi="微软雅黑" w:eastAsia="微软雅黑"/>
          <w:color w:val="auto"/>
          <w:sz w:val="24"/>
          <w:szCs w:val="24"/>
        </w:rPr>
        <w:t>http://www.hmo.gov.cn/xwzx/zwyw/201712/t20171213_1602.html</w:t>
      </w:r>
      <w:r>
        <w:rPr>
          <w:rFonts w:ascii="微软雅黑" w:hAnsi="微软雅黑" w:eastAsia="微软雅黑"/>
          <w:color w:val="auto"/>
          <w:sz w:val="24"/>
          <w:szCs w:val="24"/>
        </w:rPr>
        <w:fldChar w:fldCharType="end"/>
      </w:r>
    </w:p>
    <w:p>
      <w:pPr>
        <w:widowControl/>
        <w:jc w:val="left"/>
        <w:rPr>
          <w:rFonts w:ascii="微软雅黑" w:hAnsi="微软雅黑" w:eastAsia="微软雅黑"/>
          <w:color w:val="auto"/>
          <w:sz w:val="24"/>
          <w:szCs w:val="24"/>
        </w:rPr>
      </w:pPr>
      <w:r>
        <w:rPr>
          <w:rFonts w:ascii="微软雅黑" w:hAnsi="微软雅黑" w:eastAsia="微软雅黑"/>
          <w:color w:val="auto"/>
          <w:sz w:val="24"/>
          <w:szCs w:val="24"/>
        </w:rPr>
        <w:br w:type="page"/>
      </w:r>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外国</w:t>
      </w:r>
      <w:r>
        <w:rPr>
          <w:rFonts w:ascii="微软雅黑" w:hAnsi="微软雅黑" w:eastAsia="微软雅黑"/>
          <w:b/>
          <w:color w:val="auto"/>
          <w:sz w:val="30"/>
          <w:szCs w:val="30"/>
          <w:u w:val="single"/>
        </w:rPr>
        <w:t>/</w:t>
      </w:r>
      <w:r>
        <w:rPr>
          <w:rFonts w:hint="eastAsia" w:ascii="微软雅黑" w:hAnsi="微软雅黑" w:eastAsia="微软雅黑"/>
          <w:b/>
          <w:color w:val="auto"/>
          <w:sz w:val="30"/>
          <w:szCs w:val="30"/>
          <w:u w:val="single"/>
        </w:rPr>
        <w:t>境外投资者在内地设立机构</w:t>
      </w:r>
      <w:r>
        <w:rPr>
          <w:rFonts w:ascii="微软雅黑" w:hAnsi="微软雅黑" w:eastAsia="微软雅黑"/>
          <w:b/>
          <w:color w:val="auto"/>
          <w:sz w:val="30"/>
          <w:szCs w:val="30"/>
          <w:u w:val="single"/>
        </w:rPr>
        <w:t>/</w:t>
      </w:r>
      <w:r>
        <w:rPr>
          <w:rFonts w:hint="eastAsia" w:ascii="微软雅黑" w:hAnsi="微软雅黑" w:eastAsia="微软雅黑"/>
          <w:b/>
          <w:color w:val="auto"/>
          <w:sz w:val="30"/>
          <w:szCs w:val="30"/>
          <w:u w:val="single"/>
        </w:rPr>
        <w:t>企业的主要形式</w:t>
      </w:r>
    </w:p>
    <w:p>
      <w:pPr>
        <w:spacing w:before="468" w:beforeLines="150" w:line="400" w:lineRule="exact"/>
        <w:rPr>
          <w:rFonts w:ascii="微软雅黑" w:hAnsi="微软雅黑" w:eastAsia="微软雅黑" w:cs="Times New Roman"/>
          <w:color w:val="auto"/>
          <w:sz w:val="24"/>
          <w:szCs w:val="24"/>
        </w:rPr>
      </w:pPr>
      <w:r>
        <w:rPr>
          <w:rFonts w:hint="eastAsia" w:ascii="微软雅黑" w:hAnsi="微软雅黑" w:eastAsia="微软雅黑" w:cs="Times New Roman"/>
          <w:color w:val="auto"/>
          <w:sz w:val="24"/>
          <w:szCs w:val="24"/>
        </w:rPr>
        <w:t>外国/境外（包括香港）投资者在内地投资设立机构</w:t>
      </w:r>
      <w:r>
        <w:rPr>
          <w:rFonts w:ascii="微软雅黑" w:hAnsi="微软雅黑" w:eastAsia="微软雅黑" w:cs="Times New Roman"/>
          <w:color w:val="auto"/>
          <w:sz w:val="24"/>
          <w:szCs w:val="24"/>
        </w:rPr>
        <w:t>/</w:t>
      </w:r>
      <w:r>
        <w:rPr>
          <w:rFonts w:hint="eastAsia" w:ascii="微软雅黑" w:hAnsi="微软雅黑" w:eastAsia="微软雅黑" w:cs="Times New Roman"/>
          <w:color w:val="auto"/>
          <w:sz w:val="24"/>
          <w:szCs w:val="24"/>
        </w:rPr>
        <w:t>企业，主要有以下几种形式。</w:t>
      </w:r>
    </w:p>
    <w:p>
      <w:pPr>
        <w:pStyle w:val="28"/>
        <w:numPr>
          <w:ilvl w:val="0"/>
          <w:numId w:val="4"/>
        </w:numPr>
        <w:spacing w:before="468" w:beforeLines="150" w:line="400" w:lineRule="exact"/>
        <w:ind w:firstLineChars="0"/>
        <w:rPr>
          <w:rFonts w:ascii="微软雅黑" w:hAnsi="微软雅黑" w:eastAsia="微软雅黑"/>
          <w:b/>
          <w:color w:val="auto"/>
          <w:sz w:val="24"/>
          <w:szCs w:val="24"/>
          <w:u w:val="single"/>
          <w:lang w:eastAsia="zh-TW"/>
        </w:rPr>
      </w:pPr>
      <w:r>
        <w:rPr>
          <w:rFonts w:hint="eastAsia" w:ascii="微软雅黑" w:hAnsi="微软雅黑" w:eastAsia="微软雅黑"/>
          <w:b/>
          <w:color w:val="auto"/>
          <w:sz w:val="24"/>
          <w:szCs w:val="24"/>
          <w:u w:val="single"/>
        </w:rPr>
        <w:t>外国/境外企业常驻代表机构</w:t>
      </w:r>
    </w:p>
    <w:p>
      <w:pPr>
        <w:spacing w:before="312" w:beforeLines="100" w:line="400" w:lineRule="exact"/>
        <w:rPr>
          <w:rFonts w:ascii="微软雅黑" w:hAnsi="微软雅黑" w:eastAsia="微软雅黑" w:cs="Times New Roman"/>
          <w:color w:val="auto"/>
          <w:sz w:val="24"/>
          <w:szCs w:val="24"/>
        </w:rPr>
      </w:pPr>
      <w:r>
        <w:rPr>
          <w:rFonts w:hint="eastAsia" w:ascii="微软雅黑" w:hAnsi="微软雅黑" w:eastAsia="微软雅黑" w:cs="Times New Roman"/>
          <w:color w:val="auto"/>
          <w:sz w:val="24"/>
          <w:szCs w:val="24"/>
        </w:rPr>
        <w:t>外国/境外企业常驻代表机构（以下简称「常驻代表机构」）可从事与其母公司业务有关的非营利性活动，或进行与业务有关的联络活动，不得从事直接性经营活动。常驻代表机构不具有法人资格。</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在成都设立常驻代表机构，需要首先向主管部门提交申请。在工商行政管理部门审批之后会向常驻代表机构颁发工商登记证和代表证。常驻代表机构在领取工商登记证后需与相关政府部门办理登记手续。</w:t>
      </w:r>
    </w:p>
    <w:p>
      <w:pPr>
        <w:widowControl/>
        <w:jc w:val="left"/>
        <w:rPr>
          <w:rFonts w:ascii="微软雅黑" w:hAnsi="微软雅黑" w:eastAsia="微软雅黑"/>
          <w:color w:val="auto"/>
          <w:sz w:val="24"/>
          <w:szCs w:val="24"/>
        </w:rPr>
      </w:pPr>
      <w:r>
        <w:rPr>
          <w:rFonts w:ascii="微软雅黑" w:hAnsi="微软雅黑" w:eastAsia="微软雅黑"/>
          <w:color w:val="auto"/>
          <w:sz w:val="24"/>
          <w:szCs w:val="24"/>
        </w:rPr>
        <w:br w:type="page"/>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lang w:eastAsia="zh-TW"/>
        </w:rPr>
      </w:pPr>
      <w:r>
        <w:rPr>
          <w:rFonts w:hint="eastAsia" w:ascii="微软雅黑" w:hAnsi="微软雅黑" w:eastAsia="微软雅黑"/>
          <w:b/>
          <w:color w:val="auto"/>
          <w:sz w:val="24"/>
          <w:szCs w:val="24"/>
          <w:u w:val="single"/>
        </w:rPr>
        <w:t>个体工商户</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作为</w:t>
      </w:r>
      <w:r>
        <w:rPr>
          <w:rFonts w:ascii="微软雅黑" w:hAnsi="微软雅黑" w:eastAsia="微软雅黑"/>
          <w:color w:val="auto"/>
          <w:sz w:val="24"/>
          <w:szCs w:val="24"/>
        </w:rPr>
        <w:t>CEPA</w:t>
      </w:r>
      <w:r>
        <w:rPr>
          <w:rFonts w:hint="eastAsia" w:ascii="微软雅黑" w:hAnsi="微软雅黑" w:eastAsia="微软雅黑"/>
          <w:color w:val="auto"/>
          <w:sz w:val="24"/>
          <w:szCs w:val="24"/>
        </w:rPr>
        <w:t>的一项优惠政策，香港永久性居民中的中国公民可以依照内地有关法律、法规和行政规章，在内地各省、自治区、直辖市设立个体工商户，毋须经过外资审批，没有从业人员人数和经营面积的限制，个体工商户可以从事的经营范围包括零售、餐饮、计算器服务、广告制作、诊所、经济贸易咨询和企业管理咨询等在内的多种行业。</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然而，在个体工商户的设立上，每个地区的具体执行政策不一。欲了解详情，请参考成都市工商行政管理局网站（</w:t>
      </w:r>
      <w:r>
        <w:rPr>
          <w:color w:val="auto"/>
        </w:rPr>
        <w:fldChar w:fldCharType="begin"/>
      </w:r>
      <w:r>
        <w:rPr>
          <w:color w:val="auto"/>
        </w:rPr>
        <w:instrText xml:space="preserve"> HYPERLINK "http://www.cdgs.gov.cn/" </w:instrText>
      </w:r>
      <w:r>
        <w:rPr>
          <w:color w:val="auto"/>
        </w:rPr>
        <w:fldChar w:fldCharType="separate"/>
      </w:r>
      <w:r>
        <w:rPr>
          <w:rFonts w:ascii="微软雅黑" w:hAnsi="微软雅黑" w:eastAsia="微软雅黑" w:cs="宋体"/>
          <w:bCs/>
          <w:color w:val="auto"/>
          <w:kern w:val="0"/>
          <w:sz w:val="24"/>
          <w:szCs w:val="24"/>
        </w:rPr>
        <w:t>http://www.cdgs.gov.cn</w:t>
      </w:r>
      <w:r>
        <w:rPr>
          <w:rFonts w:ascii="微软雅黑" w:hAnsi="微软雅黑" w:eastAsia="微软雅黑" w:cs="宋体"/>
          <w:bCs/>
          <w:color w:val="auto"/>
          <w:kern w:val="0"/>
          <w:sz w:val="24"/>
          <w:szCs w:val="24"/>
        </w:rPr>
        <w:fldChar w:fldCharType="end"/>
      </w:r>
      <w:r>
        <w:rPr>
          <w:rFonts w:hint="eastAsia" w:ascii="微软雅黑" w:hAnsi="微软雅黑" w:eastAsia="微软雅黑" w:cs="Times New Roman"/>
          <w:color w:val="auto"/>
          <w:sz w:val="24"/>
          <w:szCs w:val="24"/>
        </w:rPr>
        <w:t>）</w:t>
      </w:r>
      <w:r>
        <w:rPr>
          <w:rFonts w:hint="eastAsia" w:ascii="微软雅黑" w:hAnsi="微软雅黑" w:eastAsia="微软雅黑"/>
          <w:color w:val="auto"/>
          <w:sz w:val="24"/>
          <w:szCs w:val="24"/>
        </w:rPr>
        <w:t>。</w:t>
      </w:r>
    </w:p>
    <w:p>
      <w:pPr>
        <w:pStyle w:val="28"/>
        <w:numPr>
          <w:ilvl w:val="0"/>
          <w:numId w:val="4"/>
        </w:numPr>
        <w:spacing w:before="312" w:beforeLines="100" w:line="400" w:lineRule="exact"/>
        <w:ind w:left="480" w:hanging="480" w:hangingChars="200"/>
        <w:rPr>
          <w:rFonts w:ascii="微软雅黑" w:hAnsi="微软雅黑" w:eastAsia="微软雅黑"/>
          <w:b/>
          <w:color w:val="auto"/>
          <w:sz w:val="24"/>
          <w:szCs w:val="24"/>
          <w:u w:val="single"/>
          <w:lang w:eastAsia="zh-TW"/>
        </w:rPr>
      </w:pPr>
      <w:r>
        <w:rPr>
          <w:rFonts w:hint="eastAsia" w:ascii="微软雅黑" w:hAnsi="微软雅黑" w:eastAsia="微软雅黑"/>
          <w:b/>
          <w:color w:val="auto"/>
          <w:sz w:val="24"/>
          <w:szCs w:val="24"/>
          <w:u w:val="single"/>
        </w:rPr>
        <w:t>外商投资企业</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 xml:space="preserve">外国/境外投资者可在内地投资设立的企业形式主要有以下几种： </w:t>
      </w:r>
    </w:p>
    <w:p>
      <w:pPr>
        <w:pStyle w:val="28"/>
        <w:numPr>
          <w:ilvl w:val="0"/>
          <w:numId w:val="10"/>
        </w:numPr>
        <w:spacing w:before="156" w:beforeLines="50"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中外合资经营企业；</w:t>
      </w:r>
    </w:p>
    <w:p>
      <w:pPr>
        <w:pStyle w:val="28"/>
        <w:numPr>
          <w:ilvl w:val="0"/>
          <w:numId w:val="10"/>
        </w:numPr>
        <w:spacing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中外合作经营企业；</w:t>
      </w:r>
    </w:p>
    <w:p>
      <w:pPr>
        <w:pStyle w:val="28"/>
        <w:numPr>
          <w:ilvl w:val="0"/>
          <w:numId w:val="10"/>
        </w:numPr>
        <w:spacing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外商独资企业；</w:t>
      </w:r>
    </w:p>
    <w:p>
      <w:pPr>
        <w:pStyle w:val="28"/>
        <w:numPr>
          <w:ilvl w:val="0"/>
          <w:numId w:val="10"/>
        </w:numPr>
        <w:spacing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外商投资合伙企业。</w:t>
      </w:r>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外商投资项目审批</w:t>
      </w:r>
    </w:p>
    <w:p>
      <w:pPr>
        <w:spacing w:before="312" w:beforeLines="100" w:line="400" w:lineRule="exact"/>
        <w:jc w:val="left"/>
        <w:rPr>
          <w:rFonts w:ascii="微软雅黑" w:hAnsi="微软雅黑" w:eastAsia="微软雅黑"/>
          <w:color w:val="auto"/>
          <w:sz w:val="24"/>
          <w:szCs w:val="24"/>
        </w:rPr>
      </w:pPr>
      <w:r>
        <w:rPr>
          <w:rFonts w:ascii="微软雅黑" w:hAnsi="微软雅黑" w:eastAsia="微软雅黑"/>
          <w:color w:val="auto"/>
          <w:sz w:val="24"/>
          <w:szCs w:val="24"/>
        </w:rPr>
        <w:t>2016</w:t>
      </w:r>
      <w:r>
        <w:rPr>
          <w:rFonts w:hint="eastAsia" w:ascii="微软雅黑" w:hAnsi="微软雅黑" w:eastAsia="微软雅黑"/>
          <w:color w:val="auto"/>
          <w:sz w:val="24"/>
          <w:szCs w:val="24"/>
        </w:rPr>
        <w:t>年</w:t>
      </w:r>
      <w:r>
        <w:rPr>
          <w:rFonts w:ascii="微软雅黑" w:hAnsi="微软雅黑" w:eastAsia="微软雅黑"/>
          <w:color w:val="auto"/>
          <w:sz w:val="24"/>
          <w:szCs w:val="24"/>
        </w:rPr>
        <w:t>10</w:t>
      </w:r>
      <w:r>
        <w:rPr>
          <w:rFonts w:hint="eastAsia" w:ascii="微软雅黑" w:hAnsi="微软雅黑" w:eastAsia="微软雅黑"/>
          <w:color w:val="auto"/>
          <w:sz w:val="24"/>
          <w:szCs w:val="24"/>
        </w:rPr>
        <w:t>月，商务部发布《外商投资企业设立及变更备案管理暂行办法》，将不涉及国家规定实施准入特别管理措施的外商投资企业设立及变更事项，由审批改为备案管理。为推进外商投资管理体制改革，体现简政放权、放管结合、优化服务的改革方向，</w:t>
      </w:r>
      <w:r>
        <w:rPr>
          <w:rFonts w:ascii="微软雅黑" w:hAnsi="微软雅黑" w:eastAsia="微软雅黑"/>
          <w:color w:val="auto"/>
          <w:sz w:val="24"/>
          <w:szCs w:val="24"/>
        </w:rPr>
        <w:t>2017</w:t>
      </w:r>
      <w:r>
        <w:rPr>
          <w:rFonts w:hint="eastAsia" w:ascii="微软雅黑" w:hAnsi="微软雅黑" w:eastAsia="微软雅黑"/>
          <w:color w:val="auto"/>
          <w:sz w:val="24"/>
          <w:szCs w:val="24"/>
        </w:rPr>
        <w:t>年</w:t>
      </w:r>
      <w:r>
        <w:rPr>
          <w:rFonts w:ascii="微软雅黑" w:hAnsi="微软雅黑" w:eastAsia="微软雅黑"/>
          <w:color w:val="auto"/>
          <w:sz w:val="24"/>
          <w:szCs w:val="24"/>
        </w:rPr>
        <w:t>7</w:t>
      </w:r>
      <w:r>
        <w:rPr>
          <w:rFonts w:hint="eastAsia" w:ascii="微软雅黑" w:hAnsi="微软雅黑" w:eastAsia="微软雅黑"/>
          <w:color w:val="auto"/>
          <w:sz w:val="24"/>
          <w:szCs w:val="24"/>
        </w:rPr>
        <w:t>月</w:t>
      </w:r>
      <w:r>
        <w:rPr>
          <w:rFonts w:ascii="微软雅黑" w:hAnsi="微软雅黑" w:eastAsia="微软雅黑"/>
          <w:color w:val="auto"/>
          <w:sz w:val="24"/>
          <w:szCs w:val="24"/>
        </w:rPr>
        <w:t>30</w:t>
      </w:r>
      <w:r>
        <w:rPr>
          <w:rFonts w:hint="eastAsia" w:ascii="微软雅黑" w:hAnsi="微软雅黑" w:eastAsia="微软雅黑"/>
          <w:color w:val="auto"/>
          <w:sz w:val="24"/>
          <w:szCs w:val="24"/>
        </w:rPr>
        <w:t>日，中华人民共和国商务部公布了商务部令</w:t>
      </w:r>
      <w:r>
        <w:rPr>
          <w:rFonts w:ascii="微软雅黑" w:hAnsi="微软雅黑" w:eastAsia="微软雅黑"/>
          <w:color w:val="auto"/>
          <w:sz w:val="24"/>
          <w:szCs w:val="24"/>
        </w:rPr>
        <w:t>2017</w:t>
      </w:r>
      <w:r>
        <w:rPr>
          <w:rFonts w:hint="eastAsia" w:ascii="微软雅黑" w:hAnsi="微软雅黑" w:eastAsia="微软雅黑"/>
          <w:color w:val="auto"/>
          <w:sz w:val="24"/>
          <w:szCs w:val="24"/>
        </w:rPr>
        <w:t>年第</w:t>
      </w:r>
      <w:r>
        <w:rPr>
          <w:rFonts w:ascii="微软雅黑" w:hAnsi="微软雅黑" w:eastAsia="微软雅黑"/>
          <w:color w:val="auto"/>
          <w:sz w:val="24"/>
          <w:szCs w:val="24"/>
        </w:rPr>
        <w:t>2</w:t>
      </w:r>
      <w:r>
        <w:rPr>
          <w:rFonts w:hint="eastAsia" w:ascii="微软雅黑" w:hAnsi="微软雅黑" w:eastAsia="微软雅黑"/>
          <w:color w:val="auto"/>
          <w:sz w:val="24"/>
          <w:szCs w:val="24"/>
        </w:rPr>
        <w:t>号关于修改《外商投资企业设立及变更备案管理暂行办法》的决定。</w:t>
      </w:r>
      <w:bookmarkStart w:id="8" w:name="_Hlk500343525"/>
      <w:r>
        <w:rPr>
          <w:rFonts w:hint="eastAsia" w:ascii="微软雅黑" w:hAnsi="微软雅黑" w:eastAsia="微软雅黑"/>
          <w:color w:val="auto"/>
          <w:sz w:val="24"/>
          <w:szCs w:val="24"/>
        </w:rPr>
        <w:t>具体内容请参阅商务部网站：</w:t>
      </w:r>
      <w:r>
        <w:rPr>
          <w:color w:val="auto"/>
        </w:rPr>
        <w:fldChar w:fldCharType="begin"/>
      </w:r>
      <w:r>
        <w:rPr>
          <w:color w:val="auto"/>
        </w:rPr>
        <w:instrText xml:space="preserve"> HYPERLINK "http://www.mofcom.gov.cn/article/b/f/201707/20170702617582.shtml" </w:instrText>
      </w:r>
      <w:r>
        <w:rPr>
          <w:color w:val="auto"/>
        </w:rPr>
        <w:fldChar w:fldCharType="separate"/>
      </w:r>
      <w:r>
        <w:rPr>
          <w:rFonts w:ascii="微软雅黑" w:hAnsi="微软雅黑" w:eastAsia="微软雅黑"/>
          <w:color w:val="auto"/>
          <w:sz w:val="24"/>
          <w:szCs w:val="24"/>
        </w:rPr>
        <w:t>http://www.mofcom.gov.cn/article/b/f/201707/20170702617582.</w:t>
      </w:r>
      <w:bookmarkEnd w:id="8"/>
      <w:r>
        <w:rPr>
          <w:rFonts w:ascii="微软雅黑" w:hAnsi="微软雅黑" w:eastAsia="微软雅黑"/>
          <w:color w:val="auto"/>
          <w:sz w:val="24"/>
          <w:szCs w:val="24"/>
        </w:rPr>
        <w:t>shtml</w:t>
      </w:r>
      <w:r>
        <w:rPr>
          <w:rFonts w:ascii="微软雅黑" w:hAnsi="微软雅黑" w:eastAsia="微软雅黑"/>
          <w:color w:val="auto"/>
          <w:sz w:val="24"/>
          <w:szCs w:val="24"/>
        </w:rPr>
        <w:fldChar w:fldCharType="end"/>
      </w:r>
    </w:p>
    <w:p>
      <w:pPr>
        <w:spacing w:line="400" w:lineRule="exact"/>
        <w:jc w:val="left"/>
        <w:rPr>
          <w:rFonts w:ascii="Microsoft JhengHei" w:hAnsi="Microsoft JhengHei" w:eastAsia="宋体"/>
          <w:color w:val="auto"/>
          <w:sz w:val="24"/>
          <w:szCs w:val="24"/>
        </w:rPr>
      </w:pPr>
    </w:p>
    <w:p>
      <w:pPr>
        <w:spacing w:line="400" w:lineRule="exact"/>
        <w:rPr>
          <w:rFonts w:ascii="微软雅黑" w:hAnsi="微软雅黑" w:eastAsia="微软雅黑"/>
          <w:color w:val="auto"/>
          <w:sz w:val="24"/>
          <w:szCs w:val="24"/>
        </w:rPr>
      </w:pPr>
      <w:r>
        <w:rPr>
          <w:rFonts w:ascii="微软雅黑" w:hAnsi="微软雅黑" w:eastAsia="微软雅黑"/>
          <w:color w:val="auto"/>
          <w:sz w:val="24"/>
          <w:szCs w:val="24"/>
        </w:rPr>
        <w:t>2015</w:t>
      </w:r>
      <w:r>
        <w:rPr>
          <w:rFonts w:hint="eastAsia" w:ascii="微软雅黑" w:hAnsi="微软雅黑" w:eastAsia="微软雅黑"/>
          <w:color w:val="auto"/>
          <w:sz w:val="24"/>
          <w:szCs w:val="24"/>
        </w:rPr>
        <w:t>年</w:t>
      </w:r>
      <w:r>
        <w:rPr>
          <w:rFonts w:ascii="微软雅黑" w:hAnsi="微软雅黑" w:eastAsia="微软雅黑"/>
          <w:color w:val="auto"/>
          <w:sz w:val="24"/>
          <w:szCs w:val="24"/>
        </w:rPr>
        <w:t>3</w:t>
      </w:r>
      <w:r>
        <w:rPr>
          <w:rFonts w:hint="eastAsia" w:ascii="微软雅黑" w:hAnsi="微软雅黑" w:eastAsia="微软雅黑"/>
          <w:color w:val="auto"/>
          <w:sz w:val="24"/>
          <w:szCs w:val="24"/>
        </w:rPr>
        <w:t>月，由国家发展和改革委员会和商务部联合发布《外商投资产业指导目录（</w:t>
      </w:r>
      <w:r>
        <w:rPr>
          <w:rFonts w:ascii="微软雅黑" w:hAnsi="微软雅黑" w:eastAsia="微软雅黑"/>
          <w:color w:val="auto"/>
          <w:sz w:val="24"/>
          <w:szCs w:val="24"/>
        </w:rPr>
        <w:t>2015</w:t>
      </w:r>
      <w:r>
        <w:rPr>
          <w:rFonts w:hint="eastAsia" w:ascii="微软雅黑" w:hAnsi="微软雅黑" w:eastAsia="微软雅黑"/>
          <w:color w:val="auto"/>
          <w:sz w:val="24"/>
          <w:szCs w:val="24"/>
        </w:rPr>
        <w:t>年修订）》，自</w:t>
      </w:r>
      <w:r>
        <w:rPr>
          <w:rFonts w:ascii="微软雅黑" w:hAnsi="微软雅黑" w:eastAsia="微软雅黑"/>
          <w:color w:val="auto"/>
          <w:sz w:val="24"/>
          <w:szCs w:val="24"/>
        </w:rPr>
        <w:t>2015</w:t>
      </w:r>
      <w:r>
        <w:rPr>
          <w:rFonts w:hint="eastAsia" w:ascii="微软雅黑" w:hAnsi="微软雅黑" w:eastAsia="微软雅黑"/>
          <w:color w:val="auto"/>
          <w:sz w:val="24"/>
          <w:szCs w:val="24"/>
        </w:rPr>
        <w:t>年</w:t>
      </w:r>
      <w:r>
        <w:rPr>
          <w:rFonts w:ascii="微软雅黑" w:hAnsi="微软雅黑" w:eastAsia="微软雅黑"/>
          <w:color w:val="auto"/>
          <w:sz w:val="24"/>
          <w:szCs w:val="24"/>
        </w:rPr>
        <w:t>4</w:t>
      </w:r>
      <w:r>
        <w:rPr>
          <w:rFonts w:hint="eastAsia" w:ascii="微软雅黑" w:hAnsi="微软雅黑" w:eastAsia="微软雅黑"/>
          <w:color w:val="auto"/>
          <w:sz w:val="24"/>
          <w:szCs w:val="24"/>
        </w:rPr>
        <w:t>月</w:t>
      </w:r>
      <w:r>
        <w:rPr>
          <w:rFonts w:ascii="微软雅黑" w:hAnsi="微软雅黑" w:eastAsia="微软雅黑"/>
          <w:color w:val="auto"/>
          <w:sz w:val="24"/>
          <w:szCs w:val="24"/>
        </w:rPr>
        <w:t>10</w:t>
      </w:r>
      <w:r>
        <w:rPr>
          <w:rFonts w:hint="eastAsia" w:ascii="微软雅黑" w:hAnsi="微软雅黑" w:eastAsia="微软雅黑"/>
          <w:color w:val="auto"/>
          <w:sz w:val="24"/>
          <w:szCs w:val="24"/>
        </w:rPr>
        <w:t>日起施行。</w:t>
      </w:r>
      <w:r>
        <w:rPr>
          <w:rFonts w:ascii="微软雅黑" w:hAnsi="微软雅黑" w:eastAsia="微软雅黑"/>
          <w:color w:val="auto"/>
          <w:sz w:val="24"/>
          <w:szCs w:val="24"/>
        </w:rPr>
        <w:t>2011</w:t>
      </w:r>
      <w:r>
        <w:rPr>
          <w:rFonts w:hint="eastAsia" w:ascii="微软雅黑" w:hAnsi="微软雅黑" w:eastAsia="微软雅黑"/>
          <w:color w:val="auto"/>
          <w:sz w:val="24"/>
          <w:szCs w:val="24"/>
        </w:rPr>
        <w:t>年</w:t>
      </w:r>
      <w:r>
        <w:rPr>
          <w:rFonts w:ascii="微软雅黑" w:hAnsi="微软雅黑" w:eastAsia="微软雅黑"/>
          <w:color w:val="auto"/>
          <w:sz w:val="24"/>
          <w:szCs w:val="24"/>
        </w:rPr>
        <w:t>12</w:t>
      </w:r>
      <w:r>
        <w:rPr>
          <w:rFonts w:hint="eastAsia" w:ascii="微软雅黑" w:hAnsi="微软雅黑" w:eastAsia="微软雅黑"/>
          <w:color w:val="auto"/>
          <w:sz w:val="24"/>
          <w:szCs w:val="24"/>
        </w:rPr>
        <w:t>月</w:t>
      </w:r>
      <w:r>
        <w:rPr>
          <w:rFonts w:ascii="微软雅黑" w:hAnsi="微软雅黑" w:eastAsia="微软雅黑"/>
          <w:color w:val="auto"/>
          <w:sz w:val="24"/>
          <w:szCs w:val="24"/>
        </w:rPr>
        <w:t>24</w:t>
      </w:r>
      <w:r>
        <w:rPr>
          <w:rFonts w:hint="eastAsia" w:ascii="微软雅黑" w:hAnsi="微软雅黑" w:eastAsia="微软雅黑"/>
          <w:color w:val="auto"/>
          <w:sz w:val="24"/>
          <w:szCs w:val="24"/>
        </w:rPr>
        <w:t>日国家发展和改革委员会、商务部发布的《外商投资产业指导目录（</w:t>
      </w:r>
      <w:r>
        <w:rPr>
          <w:rFonts w:ascii="微软雅黑" w:hAnsi="微软雅黑" w:eastAsia="微软雅黑"/>
          <w:color w:val="auto"/>
          <w:sz w:val="24"/>
          <w:szCs w:val="24"/>
        </w:rPr>
        <w:t>2011</w:t>
      </w:r>
      <w:r>
        <w:rPr>
          <w:rFonts w:hint="eastAsia" w:ascii="微软雅黑" w:hAnsi="微软雅黑" w:eastAsia="微软雅黑"/>
          <w:color w:val="auto"/>
          <w:sz w:val="24"/>
          <w:szCs w:val="24"/>
        </w:rPr>
        <w:t>年修订）》同时废止。欲了解《外商投资产业指导目录》的具体规定，请参考国家发改委网站（</w:t>
      </w:r>
      <w:r>
        <w:rPr>
          <w:color w:val="auto"/>
        </w:rPr>
        <w:fldChar w:fldCharType="begin"/>
      </w:r>
      <w:r>
        <w:rPr>
          <w:color w:val="auto"/>
        </w:rPr>
        <w:instrText xml:space="preserve"> HYPERLINK "http://www.ndrc.gov.cn/zcfb/zcfbl/201503/t20150313_667332.html" </w:instrText>
      </w:r>
      <w:r>
        <w:rPr>
          <w:color w:val="auto"/>
        </w:rPr>
        <w:fldChar w:fldCharType="separate"/>
      </w:r>
      <w:r>
        <w:rPr>
          <w:rFonts w:ascii="微软雅黑" w:hAnsi="微软雅黑" w:eastAsia="微软雅黑"/>
          <w:color w:val="auto"/>
          <w:sz w:val="24"/>
          <w:szCs w:val="24"/>
        </w:rPr>
        <w:t>http://www.ndrc.gov.cn/zcfb/zcfbl/201503/t20150313_667332.html</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w:t>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rPr>
      </w:pPr>
      <w:r>
        <w:rPr>
          <w:rFonts w:hint="eastAsia" w:ascii="微软雅黑" w:hAnsi="微软雅黑" w:eastAsia="微软雅黑"/>
          <w:b/>
          <w:color w:val="auto"/>
          <w:sz w:val="24"/>
          <w:szCs w:val="24"/>
          <w:u w:val="single"/>
        </w:rPr>
        <w:t>投资者与内地合作方签订合营</w:t>
      </w:r>
      <w:r>
        <w:rPr>
          <w:rFonts w:ascii="微软雅黑" w:hAnsi="微软雅黑" w:eastAsia="微软雅黑"/>
          <w:b/>
          <w:color w:val="auto"/>
          <w:sz w:val="24"/>
          <w:szCs w:val="24"/>
          <w:u w:val="single"/>
        </w:rPr>
        <w:t>/</w:t>
      </w:r>
      <w:r>
        <w:rPr>
          <w:rFonts w:hint="eastAsia" w:ascii="微软雅黑" w:hAnsi="微软雅黑" w:eastAsia="微软雅黑"/>
          <w:b/>
          <w:color w:val="auto"/>
          <w:sz w:val="24"/>
          <w:szCs w:val="24"/>
          <w:u w:val="single"/>
        </w:rPr>
        <w:t>合作协议时需留意的事项</w:t>
      </w:r>
    </w:p>
    <w:p>
      <w:pPr>
        <w:spacing w:before="234" w:beforeLines="75"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投资人在与内地合作投资者洽谈合营</w:t>
      </w:r>
      <w:r>
        <w:rPr>
          <w:rFonts w:ascii="微软雅黑" w:hAnsi="微软雅黑" w:eastAsia="微软雅黑"/>
          <w:color w:val="auto"/>
          <w:sz w:val="24"/>
          <w:szCs w:val="24"/>
        </w:rPr>
        <w:t>/</w:t>
      </w:r>
      <w:r>
        <w:rPr>
          <w:rFonts w:hint="eastAsia" w:ascii="微软雅黑" w:hAnsi="微软雅黑" w:eastAsia="微软雅黑"/>
          <w:color w:val="auto"/>
          <w:sz w:val="24"/>
          <w:szCs w:val="24"/>
        </w:rPr>
        <w:t>合作合同和起草公司章程时，需留意一些常见的问题：如内地投资者是否具有法人资格、是否有合法有效的工商登记、中方投资者的资本实力和履约能力等。此外，根据《中外合资经营企业法》和《中外合作经营企业法》中有关合营合同和合营各方权利、义务的规定，对于如何确定合营企业</w:t>
      </w:r>
      <w:r>
        <w:rPr>
          <w:rFonts w:ascii="微软雅黑" w:hAnsi="微软雅黑" w:eastAsia="微软雅黑"/>
          <w:color w:val="auto"/>
          <w:sz w:val="24"/>
          <w:szCs w:val="24"/>
        </w:rPr>
        <w:t>/</w:t>
      </w:r>
      <w:r>
        <w:rPr>
          <w:rFonts w:hint="eastAsia" w:ascii="微软雅黑" w:hAnsi="微软雅黑" w:eastAsia="微软雅黑"/>
          <w:color w:val="auto"/>
          <w:sz w:val="24"/>
          <w:szCs w:val="24"/>
        </w:rPr>
        <w:t>合作企业的组织形式、经营范围、出资期限、各方的权利义务、管理层人员安排、利润分配、合营期满后的合营企业</w:t>
      </w:r>
      <w:r>
        <w:rPr>
          <w:rFonts w:ascii="微软雅黑" w:hAnsi="微软雅黑" w:eastAsia="微软雅黑"/>
          <w:color w:val="auto"/>
          <w:sz w:val="24"/>
          <w:szCs w:val="24"/>
        </w:rPr>
        <w:t>/</w:t>
      </w:r>
      <w:r>
        <w:rPr>
          <w:rFonts w:hint="eastAsia" w:ascii="微软雅黑" w:hAnsi="微软雅黑" w:eastAsia="微软雅黑"/>
          <w:color w:val="auto"/>
          <w:sz w:val="24"/>
          <w:szCs w:val="24"/>
        </w:rPr>
        <w:t>合作企业财产分配、企业解散和清算问题，也需要在签订合营</w:t>
      </w:r>
      <w:r>
        <w:rPr>
          <w:rFonts w:ascii="微软雅黑" w:hAnsi="微软雅黑" w:eastAsia="微软雅黑"/>
          <w:color w:val="auto"/>
          <w:sz w:val="24"/>
          <w:szCs w:val="24"/>
        </w:rPr>
        <w:t>/</w:t>
      </w:r>
      <w:r>
        <w:rPr>
          <w:rFonts w:hint="eastAsia" w:ascii="微软雅黑" w:hAnsi="微软雅黑" w:eastAsia="微软雅黑"/>
          <w:color w:val="auto"/>
          <w:sz w:val="24"/>
          <w:szCs w:val="24"/>
        </w:rPr>
        <w:t>合作合同时加以留意。详情请参阅成都市工商行政管理局网站（</w:t>
      </w:r>
      <w:r>
        <w:rPr>
          <w:color w:val="auto"/>
        </w:rPr>
        <w:fldChar w:fldCharType="begin"/>
      </w:r>
      <w:r>
        <w:rPr>
          <w:color w:val="auto"/>
        </w:rPr>
        <w:instrText xml:space="preserve"> HYPERLINK "http://www.cdgs.gov.cn)" </w:instrText>
      </w:r>
      <w:r>
        <w:rPr>
          <w:color w:val="auto"/>
        </w:rPr>
        <w:fldChar w:fldCharType="separate"/>
      </w:r>
      <w:r>
        <w:rPr>
          <w:rFonts w:ascii="微软雅黑" w:hAnsi="微软雅黑" w:eastAsia="微软雅黑"/>
          <w:color w:val="auto"/>
          <w:sz w:val="24"/>
          <w:szCs w:val="24"/>
        </w:rPr>
        <w:t>http://www.cdgs.gov.cn</w:t>
      </w:r>
      <w:r>
        <w:rPr>
          <w:rFonts w:hint="eastAsia" w:ascii="微软雅黑" w:hAnsi="微软雅黑" w:eastAsia="微软雅黑" w:cs="Times New Roman"/>
          <w:color w:val="auto"/>
          <w:sz w:val="24"/>
          <w:szCs w:val="24"/>
        </w:rPr>
        <w:t>）</w:t>
      </w:r>
      <w:r>
        <w:rPr>
          <w:rFonts w:hint="eastAsia" w:ascii="微软雅黑" w:hAnsi="微软雅黑" w:eastAsia="微软雅黑" w:cs="Times New Roman"/>
          <w:color w:val="auto"/>
          <w:sz w:val="24"/>
          <w:szCs w:val="24"/>
        </w:rPr>
        <w:fldChar w:fldCharType="end"/>
      </w:r>
      <w:r>
        <w:rPr>
          <w:rFonts w:hint="eastAsia" w:ascii="微软雅黑" w:hAnsi="微软雅黑" w:eastAsia="微软雅黑"/>
          <w:color w:val="auto"/>
          <w:sz w:val="24"/>
          <w:szCs w:val="24"/>
        </w:rPr>
        <w:t>。</w:t>
      </w:r>
    </w:p>
    <w:p>
      <w:pPr>
        <w:pStyle w:val="28"/>
        <w:numPr>
          <w:ilvl w:val="0"/>
          <w:numId w:val="4"/>
        </w:numPr>
        <w:spacing w:before="312" w:beforeLines="100" w:line="400" w:lineRule="exact"/>
        <w:ind w:left="480" w:hanging="480" w:hangingChars="200"/>
        <w:rPr>
          <w:rFonts w:ascii="微软雅黑" w:hAnsi="微软雅黑" w:eastAsia="微软雅黑"/>
          <w:b/>
          <w:color w:val="auto"/>
          <w:sz w:val="24"/>
          <w:szCs w:val="24"/>
          <w:u w:val="single"/>
        </w:rPr>
      </w:pPr>
      <w:r>
        <w:rPr>
          <w:rFonts w:hint="eastAsia" w:ascii="微软雅黑" w:hAnsi="微软雅黑" w:eastAsia="微软雅黑"/>
          <w:b/>
          <w:color w:val="auto"/>
          <w:sz w:val="24"/>
          <w:szCs w:val="24"/>
          <w:u w:val="single"/>
        </w:rPr>
        <w:t>外商投资企业的一般设立审批流程</w:t>
      </w:r>
    </w:p>
    <w:p>
      <w:pPr>
        <w:spacing w:before="234" w:beforeLines="75"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按照《外商投资企业设立及变更备案管理暂行办法》，符合条件的投资者只需在网站进行备案登记后，即可以到工商局申请领取企业工商登记证（亦可先在工商登记再进行备案）、安排企业注册资本的注资、到成都市公安局刻制公司印章、到银行开立银行账户以及到税务、外汇、质监、海关、统计、财政等政府机关进行登记等。</w:t>
      </w:r>
      <w:r>
        <w:rPr>
          <w:rFonts w:ascii="微软雅黑" w:hAnsi="微软雅黑" w:eastAsia="微软雅黑"/>
          <w:color w:val="auto"/>
          <w:sz w:val="24"/>
          <w:szCs w:val="24"/>
        </w:rPr>
        <w:t>2015</w:t>
      </w:r>
      <w:r>
        <w:rPr>
          <w:rFonts w:hint="eastAsia" w:ascii="微软雅黑" w:hAnsi="微软雅黑" w:eastAsia="微软雅黑"/>
          <w:color w:val="auto"/>
          <w:sz w:val="24"/>
          <w:szCs w:val="24"/>
        </w:rPr>
        <w:t>年</w:t>
      </w:r>
      <w:r>
        <w:rPr>
          <w:rFonts w:ascii="微软雅黑" w:hAnsi="微软雅黑" w:eastAsia="微软雅黑"/>
          <w:color w:val="auto"/>
          <w:sz w:val="24"/>
          <w:szCs w:val="24"/>
        </w:rPr>
        <w:t>10</w:t>
      </w:r>
      <w:r>
        <w:rPr>
          <w:rFonts w:hint="eastAsia" w:ascii="微软雅黑" w:hAnsi="微软雅黑" w:eastAsia="微软雅黑"/>
          <w:color w:val="auto"/>
          <w:sz w:val="24"/>
          <w:szCs w:val="24"/>
        </w:rPr>
        <w:t>月</w:t>
      </w:r>
      <w:r>
        <w:rPr>
          <w:rFonts w:ascii="微软雅黑" w:hAnsi="微软雅黑" w:eastAsia="微软雅黑"/>
          <w:color w:val="auto"/>
          <w:sz w:val="24"/>
          <w:szCs w:val="24"/>
        </w:rPr>
        <w:t>1</w:t>
      </w:r>
      <w:r>
        <w:rPr>
          <w:rFonts w:hint="eastAsia" w:ascii="微软雅黑" w:hAnsi="微软雅黑" w:eastAsia="微软雅黑"/>
          <w:color w:val="auto"/>
          <w:sz w:val="24"/>
          <w:szCs w:val="24"/>
        </w:rPr>
        <w:t>日起，新设立企业领取由工商行政管理部门核发加载法人和其他组织统一社会信用代码的营业执照后，无需再次进行税务登记，不再领取税务登记证。具体的外商投资企业登记、设立流程及手续，可以参考以下政府部门网站：</w:t>
      </w:r>
    </w:p>
    <w:p>
      <w:pPr>
        <w:pStyle w:val="28"/>
        <w:numPr>
          <w:ilvl w:val="0"/>
          <w:numId w:val="11"/>
        </w:numPr>
        <w:spacing w:before="156" w:beforeLines="50" w:line="400" w:lineRule="exact"/>
        <w:ind w:left="480" w:hanging="480" w:hangingChars="200"/>
        <w:rPr>
          <w:rFonts w:ascii="微软雅黑" w:hAnsi="微软雅黑" w:eastAsia="微软雅黑" w:cs="宋体"/>
          <w:bCs/>
          <w:color w:val="auto"/>
          <w:kern w:val="0"/>
          <w:sz w:val="24"/>
          <w:szCs w:val="24"/>
        </w:rPr>
      </w:pPr>
      <w:r>
        <w:rPr>
          <w:rFonts w:hint="eastAsia" w:ascii="微软雅黑" w:hAnsi="微软雅黑" w:eastAsia="微软雅黑" w:cs="宋体"/>
          <w:bCs/>
          <w:color w:val="auto"/>
          <w:kern w:val="0"/>
          <w:sz w:val="24"/>
          <w:szCs w:val="24"/>
        </w:rPr>
        <w:t>四川省商</w:t>
      </w:r>
      <w:r>
        <w:rPr>
          <w:rFonts w:hint="cs" w:ascii="微软雅黑" w:hAnsi="微软雅黑" w:eastAsia="微软雅黑" w:cs="宋体"/>
          <w:bCs/>
          <w:color w:val="auto"/>
          <w:kern w:val="0"/>
          <w:sz w:val="24"/>
          <w:szCs w:val="24"/>
        </w:rPr>
        <w:t>务厅</w:t>
      </w:r>
      <w:r>
        <w:rPr>
          <w:rFonts w:hint="eastAsia" w:ascii="微软雅黑" w:hAnsi="微软雅黑" w:eastAsia="微软雅黑" w:cs="宋体"/>
          <w:bCs/>
          <w:color w:val="auto"/>
          <w:kern w:val="0"/>
          <w:sz w:val="24"/>
          <w:szCs w:val="24"/>
        </w:rPr>
        <w:t>：</w:t>
      </w:r>
      <w:r>
        <w:rPr>
          <w:color w:val="auto"/>
        </w:rPr>
        <w:fldChar w:fldCharType="begin"/>
      </w:r>
      <w:r>
        <w:rPr>
          <w:color w:val="auto"/>
        </w:rPr>
        <w:instrText xml:space="preserve"> HYPERLINK "http://www.sccom.gov.cn" </w:instrText>
      </w:r>
      <w:r>
        <w:rPr>
          <w:color w:val="auto"/>
        </w:rPr>
        <w:fldChar w:fldCharType="separate"/>
      </w:r>
      <w:r>
        <w:rPr>
          <w:rFonts w:ascii="微软雅黑" w:hAnsi="微软雅黑" w:eastAsia="微软雅黑" w:cs="宋体"/>
          <w:bCs/>
          <w:color w:val="auto"/>
          <w:kern w:val="0"/>
          <w:sz w:val="24"/>
          <w:szCs w:val="24"/>
        </w:rPr>
        <w:t>http://www.sccom.gov.cn</w:t>
      </w:r>
      <w:r>
        <w:rPr>
          <w:rFonts w:ascii="微软雅黑" w:hAnsi="微软雅黑" w:eastAsia="微软雅黑" w:cs="宋体"/>
          <w:bCs/>
          <w:color w:val="auto"/>
          <w:kern w:val="0"/>
          <w:sz w:val="24"/>
          <w:szCs w:val="24"/>
        </w:rPr>
        <w:fldChar w:fldCharType="end"/>
      </w:r>
    </w:p>
    <w:p>
      <w:pPr>
        <w:pStyle w:val="28"/>
        <w:numPr>
          <w:ilvl w:val="0"/>
          <w:numId w:val="11"/>
        </w:numPr>
        <w:spacing w:before="78" w:beforeLines="25" w:line="400" w:lineRule="exact"/>
        <w:ind w:left="480" w:hanging="480" w:hangingChars="200"/>
        <w:rPr>
          <w:rFonts w:ascii="微软雅黑" w:hAnsi="微软雅黑" w:eastAsia="微软雅黑" w:cs="宋体"/>
          <w:bCs/>
          <w:color w:val="auto"/>
          <w:kern w:val="0"/>
          <w:sz w:val="24"/>
          <w:szCs w:val="24"/>
        </w:rPr>
      </w:pPr>
      <w:r>
        <w:rPr>
          <w:rFonts w:hint="eastAsia" w:ascii="微软雅黑" w:hAnsi="微软雅黑" w:eastAsia="微软雅黑" w:cs="宋体"/>
          <w:bCs/>
          <w:color w:val="auto"/>
          <w:kern w:val="0"/>
          <w:sz w:val="24"/>
          <w:szCs w:val="24"/>
        </w:rPr>
        <w:t>成都市投</w:t>
      </w:r>
      <w:r>
        <w:rPr>
          <w:rFonts w:hint="cs" w:ascii="微软雅黑" w:hAnsi="微软雅黑" w:eastAsia="微软雅黑" w:cs="宋体"/>
          <w:bCs/>
          <w:color w:val="auto"/>
          <w:kern w:val="0"/>
          <w:sz w:val="24"/>
          <w:szCs w:val="24"/>
        </w:rPr>
        <w:t>资</w:t>
      </w:r>
      <w:r>
        <w:rPr>
          <w:rFonts w:hint="eastAsia" w:ascii="微软雅黑" w:hAnsi="微软雅黑" w:eastAsia="微软雅黑" w:cs="宋体"/>
          <w:bCs/>
          <w:color w:val="auto"/>
          <w:kern w:val="0"/>
          <w:sz w:val="24"/>
          <w:szCs w:val="24"/>
        </w:rPr>
        <w:t>促</w:t>
      </w:r>
      <w:r>
        <w:rPr>
          <w:rFonts w:hint="cs" w:ascii="微软雅黑" w:hAnsi="微软雅黑" w:eastAsia="微软雅黑" w:cs="宋体"/>
          <w:bCs/>
          <w:color w:val="auto"/>
          <w:kern w:val="0"/>
          <w:sz w:val="24"/>
          <w:szCs w:val="24"/>
        </w:rPr>
        <w:t>进</w:t>
      </w:r>
      <w:r>
        <w:rPr>
          <w:rFonts w:hint="eastAsia" w:ascii="微软雅黑" w:hAnsi="微软雅黑" w:eastAsia="微软雅黑" w:cs="宋体"/>
          <w:bCs/>
          <w:color w:val="auto"/>
          <w:kern w:val="0"/>
          <w:sz w:val="24"/>
          <w:szCs w:val="24"/>
        </w:rPr>
        <w:t>委</w:t>
      </w:r>
      <w:r>
        <w:rPr>
          <w:rFonts w:hint="cs" w:ascii="微软雅黑" w:hAnsi="微软雅黑" w:eastAsia="微软雅黑" w:cs="宋体"/>
          <w:bCs/>
          <w:color w:val="auto"/>
          <w:kern w:val="0"/>
          <w:sz w:val="24"/>
          <w:szCs w:val="24"/>
        </w:rPr>
        <w:t>员会</w:t>
      </w:r>
      <w:r>
        <w:rPr>
          <w:rFonts w:hint="eastAsia" w:ascii="微软雅黑" w:hAnsi="微软雅黑" w:eastAsia="微软雅黑" w:cs="宋体"/>
          <w:bCs/>
          <w:color w:val="auto"/>
          <w:kern w:val="0"/>
          <w:sz w:val="24"/>
          <w:szCs w:val="24"/>
        </w:rPr>
        <w:t>：</w:t>
      </w:r>
      <w:r>
        <w:rPr>
          <w:rFonts w:ascii="微软雅黑" w:hAnsi="微软雅黑" w:eastAsia="微软雅黑" w:cs="宋体"/>
          <w:bCs/>
          <w:color w:val="auto"/>
          <w:kern w:val="0"/>
          <w:sz w:val="24"/>
          <w:szCs w:val="24"/>
        </w:rPr>
        <w:t>http://www.chengduinvest.gov.cn</w:t>
      </w:r>
    </w:p>
    <w:p>
      <w:pPr>
        <w:pStyle w:val="28"/>
        <w:numPr>
          <w:ilvl w:val="0"/>
          <w:numId w:val="11"/>
        </w:numPr>
        <w:spacing w:before="78" w:beforeLines="25" w:line="400" w:lineRule="exact"/>
        <w:ind w:left="480" w:hanging="480" w:hangingChars="200"/>
        <w:rPr>
          <w:rFonts w:ascii="微软雅黑" w:hAnsi="微软雅黑" w:eastAsia="微软雅黑" w:cs="宋体"/>
          <w:color w:val="auto"/>
          <w:kern w:val="0"/>
          <w:sz w:val="24"/>
          <w:szCs w:val="24"/>
        </w:rPr>
      </w:pPr>
      <w:r>
        <w:rPr>
          <w:rFonts w:hint="eastAsia" w:ascii="微软雅黑" w:hAnsi="微软雅黑" w:eastAsia="微软雅黑" w:cs="宋体"/>
          <w:bCs/>
          <w:color w:val="auto"/>
          <w:kern w:val="0"/>
          <w:sz w:val="24"/>
          <w:szCs w:val="24"/>
        </w:rPr>
        <w:t>成都市工商行政管理局：</w:t>
      </w:r>
      <w:r>
        <w:rPr>
          <w:color w:val="auto"/>
        </w:rPr>
        <w:fldChar w:fldCharType="begin"/>
      </w:r>
      <w:r>
        <w:rPr>
          <w:color w:val="auto"/>
        </w:rPr>
        <w:instrText xml:space="preserve"> HYPERLINK "http://www.cdgs.gov.cn/" </w:instrText>
      </w:r>
      <w:r>
        <w:rPr>
          <w:color w:val="auto"/>
        </w:rPr>
        <w:fldChar w:fldCharType="separate"/>
      </w:r>
      <w:r>
        <w:rPr>
          <w:rFonts w:ascii="微软雅黑" w:hAnsi="微软雅黑" w:eastAsia="微软雅黑" w:cs="宋体"/>
          <w:bCs/>
          <w:color w:val="auto"/>
          <w:kern w:val="0"/>
          <w:sz w:val="24"/>
          <w:szCs w:val="24"/>
        </w:rPr>
        <w:t>http://www.cdgs.gov.cn</w:t>
      </w:r>
      <w:r>
        <w:rPr>
          <w:rFonts w:ascii="微软雅黑" w:hAnsi="微软雅黑" w:eastAsia="微软雅黑" w:cs="宋体"/>
          <w:bCs/>
          <w:color w:val="auto"/>
          <w:kern w:val="0"/>
          <w:sz w:val="24"/>
          <w:szCs w:val="24"/>
        </w:rPr>
        <w:fldChar w:fldCharType="end"/>
      </w:r>
    </w:p>
    <w:p>
      <w:pPr>
        <w:pStyle w:val="28"/>
        <w:numPr>
          <w:ilvl w:val="0"/>
          <w:numId w:val="11"/>
        </w:numPr>
        <w:spacing w:before="78" w:beforeLines="25" w:line="400" w:lineRule="exact"/>
        <w:ind w:left="480" w:hanging="480" w:hangingChars="200"/>
        <w:rPr>
          <w:rFonts w:ascii="微软雅黑" w:hAnsi="微软雅黑" w:eastAsia="微软雅黑" w:cs="宋体"/>
          <w:bCs/>
          <w:color w:val="auto"/>
          <w:kern w:val="0"/>
          <w:sz w:val="24"/>
          <w:szCs w:val="24"/>
          <w:lang w:eastAsia="zh-TW"/>
        </w:rPr>
      </w:pPr>
      <w:r>
        <w:rPr>
          <w:rFonts w:hint="eastAsia" w:ascii="微软雅黑" w:hAnsi="微软雅黑" w:eastAsia="微软雅黑" w:cs="宋体"/>
          <w:bCs/>
          <w:color w:val="auto"/>
          <w:kern w:val="0"/>
          <w:sz w:val="24"/>
          <w:szCs w:val="24"/>
        </w:rPr>
        <w:t>成都市质量技术监督局：</w:t>
      </w:r>
      <w:r>
        <w:rPr>
          <w:color w:val="auto"/>
        </w:rPr>
        <w:fldChar w:fldCharType="begin"/>
      </w:r>
      <w:r>
        <w:rPr>
          <w:color w:val="auto"/>
        </w:rPr>
        <w:instrText xml:space="preserve"> HYPERLINK "http://www.zjj.chengdu.gov.cn" </w:instrText>
      </w:r>
      <w:r>
        <w:rPr>
          <w:color w:val="auto"/>
        </w:rPr>
        <w:fldChar w:fldCharType="separate"/>
      </w:r>
      <w:r>
        <w:rPr>
          <w:rFonts w:ascii="微软雅黑" w:hAnsi="微软雅黑" w:eastAsia="微软雅黑" w:cs="宋体"/>
          <w:bCs/>
          <w:color w:val="auto"/>
          <w:kern w:val="0"/>
          <w:sz w:val="24"/>
          <w:szCs w:val="24"/>
        </w:rPr>
        <w:t>http://www.zjj.chengdu.gov.cn</w:t>
      </w:r>
      <w:r>
        <w:rPr>
          <w:rFonts w:ascii="微软雅黑" w:hAnsi="微软雅黑" w:eastAsia="微软雅黑" w:cs="宋体"/>
          <w:bCs/>
          <w:color w:val="auto"/>
          <w:kern w:val="0"/>
          <w:sz w:val="24"/>
          <w:szCs w:val="24"/>
        </w:rPr>
        <w:fldChar w:fldCharType="end"/>
      </w:r>
      <w:r>
        <w:rPr>
          <w:rFonts w:ascii="微软雅黑" w:hAnsi="微软雅黑" w:eastAsia="微软雅黑" w:cs="宋体"/>
          <w:bCs/>
          <w:color w:val="auto"/>
          <w:kern w:val="0"/>
          <w:sz w:val="24"/>
          <w:szCs w:val="24"/>
          <w:lang w:eastAsia="zh-TW"/>
        </w:rPr>
        <w:t xml:space="preserve"> </w:t>
      </w:r>
    </w:p>
    <w:p>
      <w:pPr>
        <w:pStyle w:val="28"/>
        <w:numPr>
          <w:ilvl w:val="0"/>
          <w:numId w:val="11"/>
        </w:numPr>
        <w:spacing w:before="78" w:beforeLines="25" w:line="400" w:lineRule="exact"/>
        <w:ind w:left="480" w:hanging="480" w:hangingChars="200"/>
        <w:rPr>
          <w:rFonts w:ascii="微软雅黑" w:hAnsi="微软雅黑" w:eastAsia="微软雅黑" w:cs="宋体"/>
          <w:bCs/>
          <w:color w:val="auto"/>
          <w:kern w:val="0"/>
          <w:sz w:val="24"/>
          <w:szCs w:val="24"/>
          <w:lang w:eastAsia="zh-TW"/>
        </w:rPr>
      </w:pPr>
      <w:r>
        <w:rPr>
          <w:rFonts w:hint="eastAsia" w:ascii="微软雅黑" w:hAnsi="微软雅黑" w:eastAsia="微软雅黑" w:cs="宋体"/>
          <w:bCs/>
          <w:color w:val="auto"/>
          <w:kern w:val="0"/>
          <w:sz w:val="24"/>
          <w:szCs w:val="24"/>
        </w:rPr>
        <w:t>四川省国家税务局：</w:t>
      </w:r>
      <w:r>
        <w:rPr>
          <w:color w:val="auto"/>
        </w:rPr>
        <w:fldChar w:fldCharType="begin"/>
      </w:r>
      <w:r>
        <w:rPr>
          <w:color w:val="auto"/>
        </w:rPr>
        <w:instrText xml:space="preserve"> HYPERLINK "http://www.sc-n-tax.gov.cn" </w:instrText>
      </w:r>
      <w:r>
        <w:rPr>
          <w:color w:val="auto"/>
        </w:rPr>
        <w:fldChar w:fldCharType="separate"/>
      </w:r>
      <w:r>
        <w:rPr>
          <w:rFonts w:ascii="微软雅黑" w:hAnsi="微软雅黑" w:eastAsia="微软雅黑" w:cs="宋体"/>
          <w:bCs/>
          <w:color w:val="auto"/>
          <w:kern w:val="0"/>
          <w:sz w:val="24"/>
          <w:szCs w:val="24"/>
        </w:rPr>
        <w:t>http://www.sc-n-tax.gov.cn</w:t>
      </w:r>
      <w:r>
        <w:rPr>
          <w:rFonts w:ascii="微软雅黑" w:hAnsi="微软雅黑" w:eastAsia="微软雅黑" w:cs="宋体"/>
          <w:bCs/>
          <w:color w:val="auto"/>
          <w:kern w:val="0"/>
          <w:sz w:val="24"/>
          <w:szCs w:val="24"/>
        </w:rPr>
        <w:fldChar w:fldCharType="end"/>
      </w:r>
    </w:p>
    <w:p>
      <w:pPr>
        <w:pStyle w:val="28"/>
        <w:numPr>
          <w:ilvl w:val="0"/>
          <w:numId w:val="11"/>
        </w:numPr>
        <w:spacing w:before="78" w:beforeLines="25" w:line="400" w:lineRule="exact"/>
        <w:ind w:left="480" w:hanging="480" w:hangingChars="200"/>
        <w:rPr>
          <w:rFonts w:ascii="微软雅黑" w:hAnsi="微软雅黑" w:eastAsia="微软雅黑" w:cs="宋体"/>
          <w:bCs/>
          <w:color w:val="auto"/>
          <w:kern w:val="0"/>
          <w:sz w:val="24"/>
          <w:szCs w:val="24"/>
          <w:lang w:eastAsia="zh-TW"/>
        </w:rPr>
      </w:pPr>
      <w:r>
        <w:rPr>
          <w:rFonts w:hint="eastAsia" w:ascii="微软雅黑" w:hAnsi="微软雅黑" w:eastAsia="微软雅黑" w:cs="宋体"/>
          <w:bCs/>
          <w:color w:val="auto"/>
          <w:kern w:val="0"/>
          <w:sz w:val="24"/>
          <w:szCs w:val="24"/>
        </w:rPr>
        <w:t>成都市公安局：</w:t>
      </w:r>
      <w:r>
        <w:rPr>
          <w:color w:val="auto"/>
        </w:rPr>
        <w:fldChar w:fldCharType="begin"/>
      </w:r>
      <w:r>
        <w:rPr>
          <w:color w:val="auto"/>
        </w:rPr>
        <w:instrText xml:space="preserve"> HYPERLINK "http://www.gaj.chengdu.gov.cn" </w:instrText>
      </w:r>
      <w:r>
        <w:rPr>
          <w:color w:val="auto"/>
        </w:rPr>
        <w:fldChar w:fldCharType="separate"/>
      </w:r>
      <w:r>
        <w:rPr>
          <w:rFonts w:ascii="微软雅黑" w:hAnsi="微软雅黑" w:eastAsia="微软雅黑" w:cs="宋体"/>
          <w:bCs/>
          <w:color w:val="auto"/>
          <w:kern w:val="0"/>
          <w:sz w:val="24"/>
          <w:szCs w:val="24"/>
        </w:rPr>
        <w:t>http://www.gaj.chengdu.gov.cn</w:t>
      </w:r>
      <w:r>
        <w:rPr>
          <w:rFonts w:ascii="微软雅黑" w:hAnsi="微软雅黑" w:eastAsia="微软雅黑" w:cs="宋体"/>
          <w:bCs/>
          <w:color w:val="auto"/>
          <w:kern w:val="0"/>
          <w:sz w:val="24"/>
          <w:szCs w:val="24"/>
        </w:rPr>
        <w:fldChar w:fldCharType="end"/>
      </w:r>
    </w:p>
    <w:p>
      <w:pPr>
        <w:pStyle w:val="28"/>
        <w:numPr>
          <w:ilvl w:val="0"/>
          <w:numId w:val="11"/>
        </w:numPr>
        <w:spacing w:before="78" w:beforeLines="25" w:line="400" w:lineRule="exact"/>
        <w:ind w:left="480" w:hanging="480" w:hangingChars="200"/>
        <w:rPr>
          <w:rFonts w:ascii="微软雅黑" w:hAnsi="微软雅黑" w:eastAsia="微软雅黑" w:cs="宋体"/>
          <w:bCs/>
          <w:color w:val="auto"/>
          <w:kern w:val="0"/>
          <w:sz w:val="24"/>
          <w:szCs w:val="24"/>
          <w:lang w:eastAsia="zh-TW"/>
        </w:rPr>
      </w:pPr>
      <w:r>
        <w:rPr>
          <w:rFonts w:hint="eastAsia" w:ascii="微软雅黑" w:hAnsi="微软雅黑" w:eastAsia="微软雅黑" w:cs="宋体"/>
          <w:bCs/>
          <w:color w:val="auto"/>
          <w:kern w:val="0"/>
          <w:sz w:val="24"/>
          <w:szCs w:val="24"/>
        </w:rPr>
        <w:t>国家外汇管理局：</w:t>
      </w:r>
      <w:r>
        <w:rPr>
          <w:color w:val="auto"/>
        </w:rPr>
        <w:fldChar w:fldCharType="begin"/>
      </w:r>
      <w:r>
        <w:rPr>
          <w:color w:val="auto"/>
        </w:rPr>
        <w:instrText xml:space="preserve"> HYPERLINK "http://www.safe.gov.cn" </w:instrText>
      </w:r>
      <w:r>
        <w:rPr>
          <w:color w:val="auto"/>
        </w:rPr>
        <w:fldChar w:fldCharType="separate"/>
      </w:r>
      <w:r>
        <w:rPr>
          <w:rFonts w:ascii="微软雅黑" w:hAnsi="微软雅黑" w:eastAsia="微软雅黑" w:cs="宋体"/>
          <w:bCs/>
          <w:color w:val="auto"/>
          <w:kern w:val="0"/>
          <w:sz w:val="24"/>
          <w:szCs w:val="24"/>
        </w:rPr>
        <w:t>http://www.safe.gov.cn</w:t>
      </w:r>
      <w:r>
        <w:rPr>
          <w:rFonts w:ascii="微软雅黑" w:hAnsi="微软雅黑" w:eastAsia="微软雅黑" w:cs="宋体"/>
          <w:bCs/>
          <w:color w:val="auto"/>
          <w:kern w:val="0"/>
          <w:sz w:val="24"/>
          <w:szCs w:val="24"/>
        </w:rPr>
        <w:fldChar w:fldCharType="end"/>
      </w:r>
    </w:p>
    <w:p>
      <w:pPr>
        <w:pStyle w:val="28"/>
        <w:numPr>
          <w:ilvl w:val="0"/>
          <w:numId w:val="11"/>
        </w:numPr>
        <w:spacing w:before="78" w:beforeLines="25" w:line="400" w:lineRule="exact"/>
        <w:ind w:left="480" w:hanging="480" w:hangingChars="200"/>
        <w:rPr>
          <w:rFonts w:ascii="微软雅黑" w:hAnsi="微软雅黑" w:eastAsia="微软雅黑" w:cs="宋体"/>
          <w:bCs/>
          <w:color w:val="auto"/>
          <w:kern w:val="0"/>
          <w:sz w:val="24"/>
          <w:szCs w:val="24"/>
          <w:lang w:eastAsia="zh-TW"/>
        </w:rPr>
      </w:pPr>
      <w:r>
        <w:rPr>
          <w:rFonts w:hint="eastAsia" w:ascii="微软雅黑" w:hAnsi="微软雅黑" w:eastAsia="微软雅黑" w:cs="宋体"/>
          <w:bCs/>
          <w:color w:val="auto"/>
          <w:kern w:val="0"/>
          <w:sz w:val="24"/>
          <w:szCs w:val="24"/>
        </w:rPr>
        <w:t>成都市财政局：</w:t>
      </w:r>
      <w:r>
        <w:rPr>
          <w:color w:val="auto"/>
        </w:rPr>
        <w:fldChar w:fldCharType="begin"/>
      </w:r>
      <w:r>
        <w:rPr>
          <w:color w:val="auto"/>
        </w:rPr>
        <w:instrText xml:space="preserve"> HYPERLINK "http://www.cdcz.chengdu.gov.cn" </w:instrText>
      </w:r>
      <w:r>
        <w:rPr>
          <w:color w:val="auto"/>
        </w:rPr>
        <w:fldChar w:fldCharType="separate"/>
      </w:r>
      <w:r>
        <w:rPr>
          <w:rFonts w:ascii="微软雅黑" w:hAnsi="微软雅黑" w:eastAsia="微软雅黑" w:cs="宋体"/>
          <w:bCs/>
          <w:color w:val="auto"/>
          <w:kern w:val="0"/>
          <w:sz w:val="24"/>
          <w:szCs w:val="24"/>
        </w:rPr>
        <w:t>http://www.cdcz.chengdu.gov.cn</w:t>
      </w:r>
      <w:r>
        <w:rPr>
          <w:rFonts w:ascii="微软雅黑" w:hAnsi="微软雅黑" w:eastAsia="微软雅黑" w:cs="宋体"/>
          <w:bCs/>
          <w:color w:val="auto"/>
          <w:kern w:val="0"/>
          <w:sz w:val="24"/>
          <w:szCs w:val="24"/>
        </w:rPr>
        <w:fldChar w:fldCharType="end"/>
      </w:r>
    </w:p>
    <w:p>
      <w:pPr>
        <w:pStyle w:val="28"/>
        <w:numPr>
          <w:ilvl w:val="0"/>
          <w:numId w:val="11"/>
        </w:numPr>
        <w:spacing w:before="78" w:beforeLines="25" w:line="400" w:lineRule="exact"/>
        <w:ind w:left="480" w:hanging="480" w:hangingChars="200"/>
        <w:rPr>
          <w:rFonts w:ascii="微软雅黑" w:hAnsi="微软雅黑" w:eastAsia="微软雅黑" w:cs="宋体"/>
          <w:bCs/>
          <w:color w:val="auto"/>
          <w:kern w:val="0"/>
          <w:sz w:val="24"/>
          <w:szCs w:val="24"/>
          <w:lang w:eastAsia="zh-TW"/>
        </w:rPr>
      </w:pPr>
      <w:r>
        <w:rPr>
          <w:rFonts w:hint="eastAsia" w:ascii="微软雅黑" w:hAnsi="微软雅黑" w:eastAsia="微软雅黑" w:cs="宋体"/>
          <w:bCs/>
          <w:color w:val="auto"/>
          <w:kern w:val="0"/>
          <w:sz w:val="24"/>
          <w:szCs w:val="24"/>
        </w:rPr>
        <w:t>成都海关：</w:t>
      </w:r>
      <w:r>
        <w:rPr>
          <w:color w:val="auto"/>
        </w:rPr>
        <w:fldChar w:fldCharType="begin"/>
      </w:r>
      <w:r>
        <w:rPr>
          <w:color w:val="auto"/>
        </w:rPr>
        <w:instrText xml:space="preserve"> HYPERLINK "http://chengdu.customs.gov.cn" </w:instrText>
      </w:r>
      <w:r>
        <w:rPr>
          <w:color w:val="auto"/>
        </w:rPr>
        <w:fldChar w:fldCharType="separate"/>
      </w:r>
      <w:r>
        <w:rPr>
          <w:rFonts w:ascii="微软雅黑" w:hAnsi="微软雅黑" w:eastAsia="微软雅黑" w:cs="宋体"/>
          <w:bCs/>
          <w:color w:val="auto"/>
          <w:kern w:val="0"/>
          <w:sz w:val="24"/>
          <w:szCs w:val="24"/>
        </w:rPr>
        <w:t>http://chengdu.customs.gov.cn</w:t>
      </w:r>
      <w:r>
        <w:rPr>
          <w:rFonts w:ascii="微软雅黑" w:hAnsi="微软雅黑" w:eastAsia="微软雅黑" w:cs="宋体"/>
          <w:bCs/>
          <w:color w:val="auto"/>
          <w:kern w:val="0"/>
          <w:sz w:val="24"/>
          <w:szCs w:val="24"/>
        </w:rPr>
        <w:fldChar w:fldCharType="end"/>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欲从事某些特殊行业，除需取得商务部门对于成立外商投资企业的审批之外，还需取得行业主管部门的前置审批，获得经营许可后方可申请设立公司从事该行业的运营。</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上述关于在成都设立外商投资企业流程讯息仅为一般性介绍，仅供参考，并非法律或其他专业意见。如需了解具体问题及实际操作，</w:t>
      </w:r>
      <w:bookmarkStart w:id="9" w:name="_Hlk487024993"/>
      <w:r>
        <w:rPr>
          <w:rFonts w:hint="eastAsia" w:ascii="微软雅黑" w:hAnsi="微软雅黑" w:eastAsia="微软雅黑"/>
          <w:color w:val="auto"/>
          <w:sz w:val="24"/>
          <w:szCs w:val="24"/>
        </w:rPr>
        <w:t>可以参考以下政府网页：</w:t>
      </w:r>
    </w:p>
    <w:p>
      <w:pPr>
        <w:spacing w:line="400" w:lineRule="exact"/>
        <w:rPr>
          <w:rFonts w:ascii="微软雅黑" w:hAnsi="微软雅黑" w:eastAsia="微软雅黑"/>
          <w:color w:val="auto"/>
          <w:sz w:val="24"/>
          <w:szCs w:val="24"/>
        </w:rPr>
      </w:pPr>
    </w:p>
    <w:p>
      <w:pPr>
        <w:spacing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中华人民共和国商务部令</w:t>
      </w:r>
      <w:r>
        <w:rPr>
          <w:rFonts w:ascii="微软雅黑" w:hAnsi="微软雅黑" w:eastAsia="微软雅黑"/>
          <w:color w:val="auto"/>
          <w:sz w:val="24"/>
          <w:szCs w:val="24"/>
        </w:rPr>
        <w:t>2017</w:t>
      </w:r>
      <w:r>
        <w:rPr>
          <w:rFonts w:hint="eastAsia" w:ascii="微软雅黑" w:hAnsi="微软雅黑" w:eastAsia="微软雅黑"/>
          <w:color w:val="auto"/>
          <w:sz w:val="24"/>
          <w:szCs w:val="24"/>
        </w:rPr>
        <w:t>年第</w:t>
      </w:r>
      <w:r>
        <w:rPr>
          <w:rFonts w:ascii="微软雅黑" w:hAnsi="微软雅黑" w:eastAsia="微软雅黑"/>
          <w:color w:val="auto"/>
          <w:sz w:val="24"/>
          <w:szCs w:val="24"/>
        </w:rPr>
        <w:t>2</w:t>
      </w:r>
      <w:r>
        <w:rPr>
          <w:rFonts w:hint="eastAsia" w:ascii="微软雅黑" w:hAnsi="微软雅黑" w:eastAsia="微软雅黑"/>
          <w:color w:val="auto"/>
          <w:sz w:val="24"/>
          <w:szCs w:val="24"/>
        </w:rPr>
        <w:t>号关于修改《外商投资企业设立及变更备案管理暂行办法》的决定：</w:t>
      </w:r>
      <w:r>
        <w:rPr>
          <w:color w:val="auto"/>
        </w:rPr>
        <w:fldChar w:fldCharType="begin"/>
      </w:r>
      <w:r>
        <w:rPr>
          <w:color w:val="auto"/>
        </w:rPr>
        <w:instrText xml:space="preserve"> HYPERLINK "http://www.mofcom.gov.cn/article/b/f/201707/20170702617582.shtml" </w:instrText>
      </w:r>
      <w:r>
        <w:rPr>
          <w:color w:val="auto"/>
        </w:rPr>
        <w:fldChar w:fldCharType="separate"/>
      </w:r>
      <w:r>
        <w:rPr>
          <w:rFonts w:ascii="微软雅黑" w:hAnsi="微软雅黑" w:eastAsia="微软雅黑"/>
          <w:color w:val="auto"/>
          <w:sz w:val="24"/>
          <w:szCs w:val="24"/>
        </w:rPr>
        <w:t>http://www.mofcom.gov.cn/article/b/f/201707/20170702617582.shtml</w:t>
      </w:r>
      <w:r>
        <w:rPr>
          <w:rFonts w:ascii="微软雅黑" w:hAnsi="微软雅黑" w:eastAsia="微软雅黑"/>
          <w:color w:val="auto"/>
          <w:sz w:val="24"/>
          <w:szCs w:val="24"/>
        </w:rPr>
        <w:fldChar w:fldCharType="end"/>
      </w:r>
      <w:r>
        <w:rPr>
          <w:rFonts w:ascii="微软雅黑" w:hAnsi="微软雅黑" w:eastAsia="微软雅黑"/>
          <w:color w:val="auto"/>
          <w:sz w:val="24"/>
          <w:szCs w:val="24"/>
        </w:rPr>
        <w:t xml:space="preserve"> </w:t>
      </w:r>
    </w:p>
    <w:p>
      <w:pPr>
        <w:spacing w:line="400" w:lineRule="exact"/>
        <w:jc w:val="lef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申报附件及申报网页均位于该文件网页末端，申报网页也列在下面以便使用：外商投资综合管理信息系统（请进入企业申报平台</w:t>
      </w:r>
      <w:r>
        <w:rPr>
          <w:rFonts w:ascii="微软雅黑" w:hAnsi="微软雅黑" w:eastAsia="微软雅黑"/>
          <w:color w:val="auto"/>
          <w:sz w:val="24"/>
          <w:szCs w:val="24"/>
        </w:rPr>
        <w:t>-</w:t>
      </w:r>
      <w:r>
        <w:rPr>
          <w:rFonts w:hint="eastAsia" w:ascii="微软雅黑" w:hAnsi="微软雅黑" w:eastAsia="微软雅黑"/>
          <w:color w:val="auto"/>
          <w:sz w:val="24"/>
          <w:szCs w:val="24"/>
        </w:rPr>
        <w:t>外商投资企业设立及变更备案）</w:t>
      </w:r>
      <w:r>
        <w:rPr>
          <w:color w:val="auto"/>
        </w:rPr>
        <w:fldChar w:fldCharType="begin"/>
      </w:r>
      <w:r>
        <w:rPr>
          <w:color w:val="auto"/>
        </w:rPr>
        <w:instrText xml:space="preserve"> HYPERLINK "http://wzzxbs.mofcom.gov.cn/" </w:instrText>
      </w:r>
      <w:r>
        <w:rPr>
          <w:color w:val="auto"/>
        </w:rPr>
        <w:fldChar w:fldCharType="separate"/>
      </w:r>
      <w:r>
        <w:rPr>
          <w:rFonts w:ascii="微软雅黑" w:hAnsi="微软雅黑" w:eastAsia="微软雅黑"/>
          <w:color w:val="auto"/>
          <w:sz w:val="24"/>
          <w:szCs w:val="24"/>
        </w:rPr>
        <w:t>http://wzzxbs.mofcom.gov.cn</w:t>
      </w:r>
      <w:r>
        <w:rPr>
          <w:rFonts w:ascii="微软雅黑" w:hAnsi="微软雅黑" w:eastAsia="微软雅黑"/>
          <w:color w:val="auto"/>
          <w:sz w:val="24"/>
          <w:szCs w:val="24"/>
        </w:rPr>
        <w:fldChar w:fldCharType="end"/>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如在注册过程中如需要香港投资者主体资格证明或自然人身份证明所需提供香港公证机构的公证文件，可与以下国家司法部批准在港设立的公证机构联系咨询办理：</w:t>
      </w: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中国法律服务</w:t>
      </w:r>
      <w:r>
        <w:rPr>
          <w:rFonts w:ascii="微软雅黑" w:hAnsi="微软雅黑" w:eastAsia="微软雅黑"/>
          <w:color w:val="auto"/>
          <w:sz w:val="24"/>
          <w:szCs w:val="24"/>
        </w:rPr>
        <w:t>(</w:t>
      </w:r>
      <w:r>
        <w:rPr>
          <w:rFonts w:hint="eastAsia" w:ascii="微软雅黑" w:hAnsi="微软雅黑" w:eastAsia="微软雅黑"/>
          <w:color w:val="auto"/>
          <w:sz w:val="24"/>
          <w:szCs w:val="24"/>
        </w:rPr>
        <w:t>香港</w:t>
      </w:r>
      <w:r>
        <w:rPr>
          <w:rFonts w:ascii="微软雅黑" w:hAnsi="微软雅黑" w:eastAsia="微软雅黑"/>
          <w:color w:val="auto"/>
          <w:sz w:val="24"/>
          <w:szCs w:val="24"/>
        </w:rPr>
        <w:t>)</w:t>
      </w:r>
      <w:r>
        <w:rPr>
          <w:rFonts w:hint="eastAsia" w:ascii="微软雅黑" w:hAnsi="微软雅黑" w:eastAsia="微软雅黑"/>
          <w:color w:val="auto"/>
          <w:sz w:val="24"/>
          <w:szCs w:val="24"/>
        </w:rPr>
        <w:t>有限公司</w:t>
      </w:r>
    </w:p>
    <w:p>
      <w:pPr>
        <w:spacing w:line="400" w:lineRule="exact"/>
        <w:rPr>
          <w:rFonts w:ascii="微软雅黑" w:hAnsi="微软雅黑" w:eastAsia="微软雅黑"/>
          <w:color w:val="auto"/>
          <w:sz w:val="24"/>
          <w:szCs w:val="24"/>
        </w:rPr>
      </w:pPr>
      <w:r>
        <w:rPr>
          <w:color w:val="auto"/>
        </w:rPr>
        <w:fldChar w:fldCharType="begin"/>
      </w:r>
      <w:r>
        <w:rPr>
          <w:color w:val="auto"/>
        </w:rPr>
        <w:instrText xml:space="preserve"> HYPERLINK "http://www.moj.gov.cn/index/content/2017-04/12/content_7104461.htm?node=86514" </w:instrText>
      </w:r>
      <w:r>
        <w:rPr>
          <w:color w:val="auto"/>
        </w:rPr>
        <w:fldChar w:fldCharType="separate"/>
      </w:r>
      <w:r>
        <w:rPr>
          <w:rFonts w:ascii="微软雅黑" w:hAnsi="微软雅黑" w:eastAsia="微软雅黑"/>
          <w:color w:val="auto"/>
          <w:sz w:val="24"/>
          <w:szCs w:val="24"/>
        </w:rPr>
        <w:t>http://www.moj.gov.cn/index/content/2017-04/12/content_7104461.htm?node=86514</w:t>
      </w:r>
      <w:r>
        <w:rPr>
          <w:rFonts w:ascii="微软雅黑" w:hAnsi="微软雅黑" w:eastAsia="微软雅黑"/>
          <w:color w:val="auto"/>
          <w:sz w:val="24"/>
          <w:szCs w:val="24"/>
        </w:rPr>
        <w:fldChar w:fldCharType="end"/>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四川省商务厅外商投资设立专页</w:t>
      </w:r>
      <w:r>
        <w:rPr>
          <w:rFonts w:ascii="微软雅黑" w:hAnsi="微软雅黑" w:eastAsia="微软雅黑"/>
          <w:color w:val="auto"/>
          <w:sz w:val="24"/>
          <w:szCs w:val="24"/>
        </w:rPr>
        <w:t>(</w:t>
      </w:r>
      <w:r>
        <w:rPr>
          <w:rFonts w:hint="eastAsia" w:ascii="微软雅黑" w:hAnsi="微软雅黑" w:eastAsia="微软雅黑"/>
          <w:color w:val="auto"/>
          <w:sz w:val="24"/>
          <w:szCs w:val="24"/>
        </w:rPr>
        <w:t>利用外资</w:t>
      </w:r>
      <w:r>
        <w:rPr>
          <w:rFonts w:ascii="微软雅黑" w:hAnsi="微软雅黑" w:eastAsia="微软雅黑"/>
          <w:color w:val="auto"/>
          <w:sz w:val="24"/>
          <w:szCs w:val="24"/>
        </w:rPr>
        <w:t>)</w:t>
      </w:r>
      <w:r>
        <w:rPr>
          <w:rFonts w:hint="eastAsia" w:ascii="微软雅黑" w:hAnsi="微软雅黑" w:eastAsia="微软雅黑"/>
          <w:color w:val="auto"/>
          <w:sz w:val="24"/>
          <w:szCs w:val="24"/>
        </w:rPr>
        <w:t>：</w:t>
      </w:r>
    </w:p>
    <w:p>
      <w:pPr>
        <w:spacing w:line="400" w:lineRule="exact"/>
        <w:rPr>
          <w:rFonts w:ascii="微软雅黑" w:hAnsi="微软雅黑" w:eastAsia="微软雅黑"/>
          <w:color w:val="auto"/>
          <w:sz w:val="24"/>
          <w:szCs w:val="24"/>
        </w:rPr>
      </w:pPr>
      <w:r>
        <w:rPr>
          <w:color w:val="auto"/>
        </w:rPr>
        <w:fldChar w:fldCharType="begin"/>
      </w:r>
      <w:r>
        <w:rPr>
          <w:color w:val="auto"/>
        </w:rPr>
        <w:instrText xml:space="preserve"> HYPERLINK "http://www.sccom.gov.cn/zxbs" \l "potab3" </w:instrText>
      </w:r>
      <w:r>
        <w:rPr>
          <w:color w:val="auto"/>
        </w:rPr>
        <w:fldChar w:fldCharType="separate"/>
      </w:r>
      <w:r>
        <w:rPr>
          <w:rFonts w:ascii="微软雅黑" w:hAnsi="微软雅黑" w:eastAsia="微软雅黑"/>
          <w:color w:val="auto"/>
          <w:sz w:val="24"/>
          <w:szCs w:val="24"/>
        </w:rPr>
        <w:t>http://www.sccom.gov.cn/zxbs#potab3</w:t>
      </w:r>
      <w:r>
        <w:rPr>
          <w:rFonts w:ascii="微软雅黑" w:hAnsi="微软雅黑" w:eastAsia="微软雅黑"/>
          <w:color w:val="auto"/>
          <w:sz w:val="24"/>
          <w:szCs w:val="24"/>
        </w:rPr>
        <w:fldChar w:fldCharType="end"/>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成都市投资促进委员会网站投资程序专页：</w:t>
      </w:r>
    </w:p>
    <w:p>
      <w:pPr>
        <w:spacing w:line="400" w:lineRule="exact"/>
        <w:rPr>
          <w:rFonts w:ascii="微软雅黑" w:hAnsi="微软雅黑" w:eastAsia="微软雅黑"/>
          <w:color w:val="auto"/>
          <w:sz w:val="24"/>
          <w:szCs w:val="24"/>
        </w:rPr>
      </w:pPr>
      <w:r>
        <w:rPr>
          <w:color w:val="auto"/>
        </w:rPr>
        <w:fldChar w:fldCharType="begin"/>
      </w:r>
      <w:r>
        <w:rPr>
          <w:color w:val="auto"/>
        </w:rPr>
        <w:instrText xml:space="preserve"> HYPERLINK "http://www.chengduinvest.gov.cn/list.asp?ClassID=02010602" </w:instrText>
      </w:r>
      <w:r>
        <w:rPr>
          <w:color w:val="auto"/>
        </w:rPr>
        <w:fldChar w:fldCharType="separate"/>
      </w:r>
      <w:r>
        <w:rPr>
          <w:rFonts w:ascii="微软雅黑" w:hAnsi="微软雅黑" w:eastAsia="微软雅黑"/>
          <w:color w:val="auto"/>
          <w:sz w:val="24"/>
          <w:szCs w:val="24"/>
        </w:rPr>
        <w:t>http://www.chengduinvest.gov.cn/list.asp?ClassID=02010602</w:t>
      </w:r>
      <w:r>
        <w:rPr>
          <w:rFonts w:ascii="微软雅黑" w:hAnsi="微软雅黑" w:eastAsia="微软雅黑"/>
          <w:color w:val="auto"/>
          <w:sz w:val="24"/>
          <w:szCs w:val="24"/>
        </w:rPr>
        <w:fldChar w:fldCharType="end"/>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四川省政务中心</w:t>
      </w:r>
      <w:r>
        <w:rPr>
          <w:rFonts w:ascii="微软雅黑" w:hAnsi="微软雅黑" w:eastAsia="微软雅黑"/>
          <w:color w:val="auto"/>
          <w:sz w:val="24"/>
          <w:szCs w:val="24"/>
        </w:rPr>
        <w:t>–</w:t>
      </w:r>
      <w:r>
        <w:rPr>
          <w:rFonts w:hint="eastAsia" w:ascii="微软雅黑" w:hAnsi="微软雅黑" w:eastAsia="微软雅黑"/>
          <w:color w:val="auto"/>
          <w:sz w:val="24"/>
          <w:szCs w:val="24"/>
        </w:rPr>
        <w:t>四川省工商局外资企业设立：</w:t>
      </w:r>
    </w:p>
    <w:p>
      <w:pPr>
        <w:spacing w:line="400" w:lineRule="exact"/>
        <w:rPr>
          <w:rFonts w:ascii="微软雅黑" w:hAnsi="微软雅黑" w:eastAsia="微软雅黑"/>
          <w:color w:val="auto"/>
          <w:sz w:val="24"/>
          <w:szCs w:val="24"/>
        </w:rPr>
      </w:pPr>
      <w:r>
        <w:rPr>
          <w:color w:val="auto"/>
        </w:rPr>
        <w:fldChar w:fldCharType="begin"/>
      </w:r>
      <w:r>
        <w:rPr>
          <w:color w:val="auto"/>
        </w:rPr>
        <w:instrText xml:space="preserve"> HYPERLINK "http://egov.sczw.gov.cn/project/index.aspx?type=3&amp;item=BB31258A213A4CCFAC87848545A5976073F5B38B70E27005F3F7CD50E9035BCB" </w:instrText>
      </w:r>
      <w:r>
        <w:rPr>
          <w:color w:val="auto"/>
        </w:rPr>
        <w:fldChar w:fldCharType="separate"/>
      </w:r>
      <w:r>
        <w:rPr>
          <w:rFonts w:ascii="微软雅黑" w:hAnsi="微软雅黑" w:eastAsia="微软雅黑"/>
          <w:color w:val="auto"/>
          <w:sz w:val="24"/>
          <w:szCs w:val="24"/>
        </w:rPr>
        <w:t>http://egov.sczw.gov.cn/project/index.aspx?type=3&amp;item=BB31258A213A4CCFAC87848545A5976073F5B38B70E27005F3F7CD50E9035BCB</w:t>
      </w:r>
      <w:r>
        <w:rPr>
          <w:rFonts w:ascii="微软雅黑" w:hAnsi="微软雅黑" w:eastAsia="微软雅黑"/>
          <w:color w:val="auto"/>
          <w:sz w:val="24"/>
          <w:szCs w:val="24"/>
        </w:rPr>
        <w:fldChar w:fldCharType="end"/>
      </w:r>
      <w:r>
        <w:rPr>
          <w:rFonts w:ascii="微软雅黑" w:hAnsi="微软雅黑" w:eastAsia="微软雅黑"/>
          <w:color w:val="auto"/>
          <w:sz w:val="24"/>
          <w:szCs w:val="24"/>
        </w:rPr>
        <w:t xml:space="preserve"> </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成都市工商局位于市政府政务中心窗口：</w:t>
      </w:r>
    </w:p>
    <w:p>
      <w:pPr>
        <w:spacing w:line="400" w:lineRule="exact"/>
        <w:rPr>
          <w:rFonts w:ascii="微软雅黑" w:hAnsi="微软雅黑" w:eastAsia="微软雅黑"/>
          <w:color w:val="auto"/>
          <w:sz w:val="24"/>
          <w:szCs w:val="24"/>
        </w:rPr>
      </w:pPr>
      <w:r>
        <w:rPr>
          <w:color w:val="auto"/>
        </w:rPr>
        <w:fldChar w:fldCharType="begin"/>
      </w:r>
      <w:r>
        <w:rPr>
          <w:color w:val="auto"/>
        </w:rPr>
        <w:instrText xml:space="preserve"> HYPERLINK "http://egov.chengdu.gov.cn/publicweb/serv/detail.jsp?proceedingversionsn=51010011410046000461387" </w:instrText>
      </w:r>
      <w:r>
        <w:rPr>
          <w:color w:val="auto"/>
        </w:rPr>
        <w:fldChar w:fldCharType="separate"/>
      </w:r>
      <w:r>
        <w:rPr>
          <w:rFonts w:ascii="微软雅黑" w:hAnsi="微软雅黑" w:eastAsia="微软雅黑"/>
          <w:color w:val="auto"/>
          <w:sz w:val="24"/>
          <w:szCs w:val="24"/>
        </w:rPr>
        <w:t>http://egov.chengdu.gov.cn/publicweb/serv/detail.jsp?proceedingversionsn=51010011410046000461387</w:t>
      </w:r>
      <w:r>
        <w:rPr>
          <w:rFonts w:ascii="微软雅黑" w:hAnsi="微软雅黑" w:eastAsia="微软雅黑"/>
          <w:color w:val="auto"/>
          <w:sz w:val="24"/>
          <w:szCs w:val="24"/>
        </w:rPr>
        <w:fldChar w:fldCharType="end"/>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成都市人民政府政务中心：</w:t>
      </w:r>
    </w:p>
    <w:p>
      <w:pPr>
        <w:spacing w:line="400" w:lineRule="exact"/>
        <w:rPr>
          <w:rFonts w:ascii="微软雅黑" w:hAnsi="微软雅黑" w:eastAsia="微软雅黑"/>
          <w:color w:val="auto"/>
          <w:sz w:val="24"/>
          <w:szCs w:val="24"/>
        </w:rPr>
      </w:pPr>
      <w:r>
        <w:rPr>
          <w:color w:val="auto"/>
        </w:rPr>
        <w:fldChar w:fldCharType="begin"/>
      </w:r>
      <w:r>
        <w:rPr>
          <w:color w:val="auto"/>
        </w:rPr>
        <w:instrText xml:space="preserve"> HYPERLINK "http://www.cdzw.gov.cn/zxgk.jsp" </w:instrText>
      </w:r>
      <w:r>
        <w:rPr>
          <w:color w:val="auto"/>
        </w:rPr>
        <w:fldChar w:fldCharType="separate"/>
      </w:r>
      <w:r>
        <w:rPr>
          <w:rFonts w:ascii="微软雅黑" w:hAnsi="微软雅黑" w:eastAsia="微软雅黑"/>
          <w:color w:val="auto"/>
          <w:sz w:val="24"/>
          <w:szCs w:val="24"/>
        </w:rPr>
        <w:t>http://www.cdzw.gov.cn/zxgk.jsp</w:t>
      </w:r>
      <w:r>
        <w:rPr>
          <w:rFonts w:ascii="微软雅黑" w:hAnsi="微软雅黑" w:eastAsia="微软雅黑"/>
          <w:color w:val="auto"/>
          <w:sz w:val="24"/>
          <w:szCs w:val="24"/>
        </w:rPr>
        <w:fldChar w:fldCharType="end"/>
      </w:r>
    </w:p>
    <w:p>
      <w:pPr>
        <w:spacing w:line="400" w:lineRule="exact"/>
        <w:rPr>
          <w:rFonts w:ascii="微软雅黑" w:hAnsi="微软雅黑" w:eastAsia="微软雅黑"/>
          <w:color w:val="auto"/>
          <w:sz w:val="24"/>
          <w:szCs w:val="24"/>
        </w:rPr>
      </w:pPr>
    </w:p>
    <w:bookmarkEnd w:id="9"/>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或向具有执业资格的中国律师事务所或专业咨询机构进行咨询。一般专业咨询机构均提供代理投资者办理外商投资企业设立手续的服务，包括协助起草公司章程、企业设立申请等文件、准备企业设立申请的相关表格和与相应的政府机关沟通等。</w:t>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rPr>
      </w:pPr>
      <w:r>
        <w:rPr>
          <w:rFonts w:hint="eastAsia" w:ascii="微软雅黑" w:hAnsi="微软雅黑" w:eastAsia="微软雅黑"/>
          <w:b/>
          <w:color w:val="auto"/>
          <w:sz w:val="24"/>
          <w:szCs w:val="24"/>
          <w:u w:val="single"/>
        </w:rPr>
        <w:t>外商投资企业注册资本和投资总额的要求</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根据</w:t>
      </w:r>
      <w:r>
        <w:rPr>
          <w:rFonts w:ascii="微软雅黑" w:hAnsi="微软雅黑" w:eastAsia="微软雅黑"/>
          <w:color w:val="auto"/>
          <w:sz w:val="24"/>
          <w:szCs w:val="24"/>
        </w:rPr>
        <w:t>2014</w:t>
      </w:r>
      <w:r>
        <w:rPr>
          <w:rFonts w:hint="eastAsia" w:ascii="微软雅黑" w:hAnsi="微软雅黑" w:eastAsia="微软雅黑"/>
          <w:color w:val="auto"/>
          <w:sz w:val="24"/>
          <w:szCs w:val="24"/>
        </w:rPr>
        <w:t>年</w:t>
      </w:r>
      <w:r>
        <w:rPr>
          <w:rFonts w:ascii="微软雅黑" w:hAnsi="微软雅黑" w:eastAsia="微软雅黑"/>
          <w:color w:val="auto"/>
          <w:sz w:val="24"/>
          <w:szCs w:val="24"/>
        </w:rPr>
        <w:t>3</w:t>
      </w:r>
      <w:r>
        <w:rPr>
          <w:rFonts w:hint="eastAsia" w:ascii="微软雅黑" w:hAnsi="微软雅黑" w:eastAsia="微软雅黑"/>
          <w:color w:val="auto"/>
          <w:sz w:val="24"/>
          <w:szCs w:val="24"/>
        </w:rPr>
        <w:t>月</w:t>
      </w:r>
      <w:r>
        <w:rPr>
          <w:rFonts w:ascii="微软雅黑" w:hAnsi="微软雅黑" w:eastAsia="微软雅黑"/>
          <w:color w:val="auto"/>
          <w:sz w:val="24"/>
          <w:szCs w:val="24"/>
        </w:rPr>
        <w:t>1</w:t>
      </w:r>
      <w:r>
        <w:rPr>
          <w:rFonts w:hint="eastAsia" w:ascii="微软雅黑" w:hAnsi="微软雅黑" w:eastAsia="微软雅黑"/>
          <w:color w:val="auto"/>
          <w:sz w:val="24"/>
          <w:szCs w:val="24"/>
        </w:rPr>
        <w:t>日起实施的新《公司法》要求，有限责任公司的注册资本为在公司登记机关登记的全体股东认缴的出资额。法律、行政法规以及国务院决定对有限责任公司注册资本实缴、注册资本最低限额另有规定的，应从其规定。</w:t>
      </w:r>
    </w:p>
    <w:p>
      <w:pPr>
        <w:spacing w:line="400" w:lineRule="exact"/>
        <w:rPr>
          <w:rFonts w:ascii="微软雅黑" w:hAnsi="微软雅黑" w:eastAsia="微软雅黑"/>
          <w:color w:val="auto"/>
          <w:sz w:val="24"/>
          <w:szCs w:val="24"/>
        </w:rPr>
      </w:pPr>
    </w:p>
    <w:p>
      <w:pPr>
        <w:spacing w:after="156" w:afterLines="5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外资企业的投资总额是指开办外资企业所需资金总额，即按其生产规模需要投入的基本建设资金和生产流动资金的总和。而注册资本是指为设立外资企业在工商行政管理机关登记的资本总额，即外商投资企业的投资者认缴的全部出资额。投资者以该出资额为限，对外资企业的债务负责。根据国家工商行政管理总局于</w:t>
      </w:r>
      <w:r>
        <w:rPr>
          <w:rFonts w:ascii="微软雅黑" w:hAnsi="微软雅黑" w:eastAsia="微软雅黑"/>
          <w:color w:val="auto"/>
          <w:sz w:val="24"/>
          <w:szCs w:val="24"/>
        </w:rPr>
        <w:t>1987</w:t>
      </w:r>
      <w:r>
        <w:rPr>
          <w:rFonts w:hint="eastAsia" w:ascii="微软雅黑" w:hAnsi="微软雅黑" w:eastAsia="微软雅黑"/>
          <w:color w:val="auto"/>
          <w:sz w:val="24"/>
          <w:szCs w:val="24"/>
        </w:rPr>
        <w:t>年</w:t>
      </w:r>
      <w:r>
        <w:rPr>
          <w:rFonts w:ascii="微软雅黑" w:hAnsi="微软雅黑" w:eastAsia="微软雅黑"/>
          <w:color w:val="auto"/>
          <w:sz w:val="24"/>
          <w:szCs w:val="24"/>
        </w:rPr>
        <w:t>2</w:t>
      </w:r>
      <w:r>
        <w:rPr>
          <w:rFonts w:hint="eastAsia" w:ascii="微软雅黑" w:hAnsi="微软雅黑" w:eastAsia="微软雅黑"/>
          <w:color w:val="auto"/>
          <w:sz w:val="24"/>
          <w:szCs w:val="24"/>
        </w:rPr>
        <w:t>月颁布实施的工商企字</w:t>
      </w:r>
      <w:r>
        <w:rPr>
          <w:rFonts w:ascii="微软雅黑" w:hAnsi="微软雅黑" w:eastAsia="微软雅黑"/>
          <w:color w:val="auto"/>
          <w:sz w:val="24"/>
          <w:szCs w:val="24"/>
        </w:rPr>
        <w:t>[1987]38</w:t>
      </w:r>
      <w:r>
        <w:rPr>
          <w:rFonts w:hint="eastAsia" w:ascii="微软雅黑" w:hAnsi="微软雅黑" w:eastAsia="微软雅黑"/>
          <w:color w:val="auto"/>
          <w:sz w:val="24"/>
          <w:szCs w:val="24"/>
        </w:rPr>
        <w:t>号文件，外商投资企业注册资本与投资总额的比例应当符合以下的比例规定：</w:t>
      </w:r>
    </w:p>
    <w:tbl>
      <w:tblPr>
        <w:tblStyle w:val="24"/>
        <w:tblW w:w="8152" w:type="dxa"/>
        <w:jc w:val="center"/>
        <w:tblInd w:w="0" w:type="dxa"/>
        <w:tblLayout w:type="fixed"/>
        <w:tblCellMar>
          <w:top w:w="0" w:type="dxa"/>
          <w:left w:w="108" w:type="dxa"/>
          <w:bottom w:w="0" w:type="dxa"/>
          <w:right w:w="108" w:type="dxa"/>
        </w:tblCellMar>
      </w:tblPr>
      <w:tblGrid>
        <w:gridCol w:w="3701"/>
        <w:gridCol w:w="4451"/>
      </w:tblGrid>
      <w:tr>
        <w:tblPrEx>
          <w:tblLayout w:type="fixed"/>
          <w:tblCellMar>
            <w:top w:w="0" w:type="dxa"/>
            <w:left w:w="108" w:type="dxa"/>
            <w:bottom w:w="0" w:type="dxa"/>
            <w:right w:w="108" w:type="dxa"/>
          </w:tblCellMar>
        </w:tblPrEx>
        <w:trPr>
          <w:trHeight w:val="287" w:hRule="atLeast"/>
          <w:jc w:val="center"/>
        </w:trPr>
        <w:tc>
          <w:tcPr>
            <w:tcW w:w="3701" w:type="dxa"/>
            <w:tcBorders>
              <w:top w:val="single" w:color="auto" w:sz="4" w:space="0"/>
              <w:left w:val="single" w:color="auto" w:sz="4" w:space="0"/>
              <w:bottom w:val="single" w:color="auto" w:sz="4" w:space="0"/>
              <w:right w:val="single" w:color="auto" w:sz="4" w:space="0"/>
            </w:tcBorders>
            <w:shd w:val="clear" w:color="auto" w:fill="A6C9E8"/>
            <w:vAlign w:val="center"/>
          </w:tcPr>
          <w:p>
            <w:pPr>
              <w:widowControl/>
              <w:jc w:val="center"/>
              <w:rPr>
                <w:rFonts w:ascii="微软雅黑" w:hAnsi="微软雅黑" w:eastAsia="微软雅黑" w:cs="宋体"/>
                <w:b/>
                <w:color w:val="auto"/>
                <w:kern w:val="0"/>
                <w:sz w:val="24"/>
                <w:szCs w:val="24"/>
              </w:rPr>
            </w:pPr>
            <w:r>
              <w:rPr>
                <w:rFonts w:hint="eastAsia" w:ascii="微软雅黑" w:hAnsi="微软雅黑" w:eastAsia="微软雅黑" w:cs="宋体"/>
                <w:b/>
                <w:color w:val="auto"/>
                <w:kern w:val="0"/>
                <w:sz w:val="24"/>
                <w:szCs w:val="24"/>
              </w:rPr>
              <w:t>投资总额</w:t>
            </w:r>
            <w:r>
              <w:rPr>
                <w:rFonts w:ascii="微软雅黑" w:hAnsi="微软雅黑" w:eastAsia="微软雅黑" w:cs="宋体"/>
                <w:b/>
                <w:color w:val="auto"/>
                <w:kern w:val="0"/>
                <w:sz w:val="24"/>
                <w:szCs w:val="24"/>
              </w:rPr>
              <w:t>(</w:t>
            </w:r>
            <w:r>
              <w:rPr>
                <w:rFonts w:hint="eastAsia" w:ascii="微软雅黑" w:hAnsi="微软雅黑" w:eastAsia="微软雅黑" w:cs="宋体"/>
                <w:b/>
                <w:color w:val="auto"/>
                <w:kern w:val="0"/>
                <w:sz w:val="24"/>
                <w:szCs w:val="24"/>
              </w:rPr>
              <w:t>美元</w:t>
            </w:r>
            <w:r>
              <w:rPr>
                <w:rFonts w:ascii="微软雅黑" w:hAnsi="微软雅黑" w:eastAsia="微软雅黑" w:cs="宋体"/>
                <w:b/>
                <w:color w:val="auto"/>
                <w:kern w:val="0"/>
                <w:sz w:val="24"/>
                <w:szCs w:val="24"/>
              </w:rPr>
              <w:t>)</w:t>
            </w:r>
          </w:p>
        </w:tc>
        <w:tc>
          <w:tcPr>
            <w:tcW w:w="4451" w:type="dxa"/>
            <w:tcBorders>
              <w:top w:val="single" w:color="auto" w:sz="4" w:space="0"/>
              <w:left w:val="nil"/>
              <w:bottom w:val="single" w:color="auto" w:sz="4" w:space="0"/>
              <w:right w:val="single" w:color="auto" w:sz="4" w:space="0"/>
            </w:tcBorders>
            <w:shd w:val="clear" w:color="auto" w:fill="A6C9E8"/>
            <w:vAlign w:val="center"/>
          </w:tcPr>
          <w:p>
            <w:pPr>
              <w:widowControl/>
              <w:jc w:val="center"/>
              <w:rPr>
                <w:rFonts w:ascii="微软雅黑" w:hAnsi="微软雅黑" w:eastAsia="微软雅黑" w:cs="宋体"/>
                <w:b/>
                <w:color w:val="auto"/>
                <w:kern w:val="0"/>
                <w:sz w:val="24"/>
                <w:szCs w:val="24"/>
              </w:rPr>
            </w:pPr>
            <w:r>
              <w:rPr>
                <w:rFonts w:hint="eastAsia" w:ascii="微软雅黑" w:hAnsi="微软雅黑" w:eastAsia="微软雅黑" w:cs="宋体"/>
                <w:b/>
                <w:color w:val="auto"/>
                <w:kern w:val="0"/>
                <w:sz w:val="24"/>
                <w:szCs w:val="24"/>
              </w:rPr>
              <w:t>最低注册资本</w:t>
            </w:r>
            <w:r>
              <w:rPr>
                <w:rFonts w:ascii="微软雅黑" w:hAnsi="微软雅黑" w:eastAsia="微软雅黑" w:cs="宋体"/>
                <w:b/>
                <w:color w:val="auto"/>
                <w:kern w:val="0"/>
                <w:sz w:val="24"/>
                <w:szCs w:val="24"/>
              </w:rPr>
              <w:t>(</w:t>
            </w:r>
            <w:r>
              <w:rPr>
                <w:rFonts w:hint="eastAsia" w:ascii="微软雅黑" w:hAnsi="微软雅黑" w:eastAsia="微软雅黑" w:cs="宋体"/>
                <w:b/>
                <w:color w:val="auto"/>
                <w:kern w:val="0"/>
                <w:sz w:val="24"/>
                <w:szCs w:val="24"/>
              </w:rPr>
              <w:t>美元</w:t>
            </w:r>
            <w:r>
              <w:rPr>
                <w:rFonts w:ascii="微软雅黑" w:hAnsi="微软雅黑" w:eastAsia="微软雅黑" w:cs="宋体"/>
                <w:b/>
                <w:color w:val="auto"/>
                <w:kern w:val="0"/>
                <w:sz w:val="24"/>
                <w:szCs w:val="24"/>
              </w:rPr>
              <w:t>)</w:t>
            </w:r>
          </w:p>
        </w:tc>
      </w:tr>
      <w:tr>
        <w:tblPrEx>
          <w:tblLayout w:type="fixed"/>
          <w:tblCellMar>
            <w:top w:w="0" w:type="dxa"/>
            <w:left w:w="108" w:type="dxa"/>
            <w:bottom w:w="0" w:type="dxa"/>
            <w:right w:w="108" w:type="dxa"/>
          </w:tblCellMar>
        </w:tblPrEx>
        <w:trPr>
          <w:trHeight w:val="526" w:hRule="atLeast"/>
          <w:jc w:val="center"/>
        </w:trPr>
        <w:tc>
          <w:tcPr>
            <w:tcW w:w="3701" w:type="dxa"/>
            <w:tcBorders>
              <w:top w:val="nil"/>
              <w:left w:val="single" w:color="auto" w:sz="4" w:space="0"/>
              <w:bottom w:val="single" w:color="auto" w:sz="4" w:space="0"/>
              <w:right w:val="single" w:color="auto" w:sz="4" w:space="0"/>
            </w:tcBorders>
            <w:shd w:val="clear" w:color="auto" w:fill="auto"/>
          </w:tcPr>
          <w:p>
            <w:pPr>
              <w:widowControl/>
              <w:spacing w:line="340" w:lineRule="exact"/>
              <w:rPr>
                <w:rFonts w:ascii="微软雅黑" w:hAnsi="微软雅黑" w:eastAsia="微软雅黑" w:cs="宋体"/>
                <w:color w:val="auto"/>
                <w:kern w:val="0"/>
                <w:sz w:val="24"/>
                <w:szCs w:val="24"/>
                <w:lang w:eastAsia="zh-TW"/>
              </w:rPr>
            </w:pPr>
            <w:r>
              <w:rPr>
                <w:rFonts w:ascii="微软雅黑" w:hAnsi="微软雅黑" w:eastAsia="微软雅黑" w:cs="宋体"/>
                <w:color w:val="auto"/>
                <w:kern w:val="0"/>
                <w:sz w:val="24"/>
                <w:szCs w:val="24"/>
              </w:rPr>
              <w:t>300</w:t>
            </w:r>
            <w:r>
              <w:rPr>
                <w:rFonts w:hint="eastAsia" w:ascii="微软雅黑" w:hAnsi="微软雅黑" w:eastAsia="微软雅黑" w:cs="宋体"/>
                <w:color w:val="auto"/>
                <w:kern w:val="0"/>
                <w:sz w:val="24"/>
                <w:szCs w:val="24"/>
              </w:rPr>
              <w:t>万美元以下</w:t>
            </w:r>
            <w:r>
              <w:rPr>
                <w:rFonts w:ascii="微软雅黑" w:hAnsi="微软雅黑" w:eastAsia="微软雅黑" w:cs="宋体"/>
                <w:color w:val="auto"/>
                <w:kern w:val="0"/>
                <w:sz w:val="24"/>
                <w:szCs w:val="24"/>
              </w:rPr>
              <w:t>(</w:t>
            </w:r>
            <w:r>
              <w:rPr>
                <w:rFonts w:hint="eastAsia" w:ascii="微软雅黑" w:hAnsi="微软雅黑" w:eastAsia="微软雅黑" w:cs="宋体"/>
                <w:color w:val="auto"/>
                <w:kern w:val="0"/>
                <w:sz w:val="24"/>
                <w:szCs w:val="24"/>
              </w:rPr>
              <w:t>含</w:t>
            </w:r>
            <w:r>
              <w:rPr>
                <w:rFonts w:ascii="微软雅黑" w:hAnsi="微软雅黑" w:eastAsia="微软雅黑" w:cs="宋体"/>
                <w:color w:val="auto"/>
                <w:kern w:val="0"/>
                <w:sz w:val="24"/>
                <w:szCs w:val="24"/>
              </w:rPr>
              <w:t>300</w:t>
            </w:r>
            <w:r>
              <w:rPr>
                <w:rFonts w:hint="eastAsia" w:ascii="微软雅黑" w:hAnsi="微软雅黑" w:eastAsia="微软雅黑" w:cs="宋体"/>
                <w:color w:val="auto"/>
                <w:kern w:val="0"/>
                <w:sz w:val="24"/>
                <w:szCs w:val="24"/>
              </w:rPr>
              <w:t>万美元</w:t>
            </w:r>
            <w:r>
              <w:rPr>
                <w:rFonts w:ascii="微软雅黑" w:hAnsi="微软雅黑" w:eastAsia="微软雅黑" w:cs="宋体"/>
                <w:color w:val="auto"/>
                <w:kern w:val="0"/>
                <w:sz w:val="24"/>
                <w:szCs w:val="24"/>
              </w:rPr>
              <w:t>)</w:t>
            </w:r>
          </w:p>
        </w:tc>
        <w:tc>
          <w:tcPr>
            <w:tcW w:w="4451" w:type="dxa"/>
            <w:tcBorders>
              <w:top w:val="nil"/>
              <w:left w:val="nil"/>
              <w:bottom w:val="single" w:color="auto" w:sz="4" w:space="0"/>
              <w:right w:val="single" w:color="auto" w:sz="4" w:space="0"/>
            </w:tcBorders>
            <w:shd w:val="clear" w:color="auto" w:fill="auto"/>
          </w:tcPr>
          <w:p>
            <w:pPr>
              <w:widowControl/>
              <w:spacing w:line="340" w:lineRule="exact"/>
              <w:rPr>
                <w:rFonts w:ascii="微软雅黑" w:hAnsi="微软雅黑" w:eastAsia="微软雅黑" w:cs="宋体"/>
                <w:color w:val="auto"/>
                <w:kern w:val="0"/>
                <w:sz w:val="24"/>
                <w:szCs w:val="24"/>
              </w:rPr>
            </w:pPr>
            <w:r>
              <w:rPr>
                <w:rFonts w:hint="eastAsia" w:ascii="微软雅黑" w:hAnsi="微软雅黑" w:eastAsia="微软雅黑" w:cs="宋体"/>
                <w:color w:val="auto"/>
                <w:kern w:val="0"/>
                <w:sz w:val="24"/>
                <w:szCs w:val="24"/>
              </w:rPr>
              <w:t>注册资本至少占投资总额的</w:t>
            </w:r>
            <w:r>
              <w:rPr>
                <w:rFonts w:ascii="微软雅黑" w:hAnsi="微软雅黑" w:eastAsia="微软雅黑" w:cs="宋体"/>
                <w:color w:val="auto"/>
                <w:kern w:val="0"/>
                <w:sz w:val="24"/>
                <w:szCs w:val="24"/>
              </w:rPr>
              <w:t>70%</w:t>
            </w:r>
          </w:p>
        </w:tc>
      </w:tr>
      <w:tr>
        <w:tblPrEx>
          <w:tblLayout w:type="fixed"/>
          <w:tblCellMar>
            <w:top w:w="0" w:type="dxa"/>
            <w:left w:w="108" w:type="dxa"/>
            <w:bottom w:w="0" w:type="dxa"/>
            <w:right w:w="108" w:type="dxa"/>
          </w:tblCellMar>
        </w:tblPrEx>
        <w:trPr>
          <w:trHeight w:val="1115" w:hRule="atLeast"/>
          <w:jc w:val="center"/>
        </w:trPr>
        <w:tc>
          <w:tcPr>
            <w:tcW w:w="3701" w:type="dxa"/>
            <w:tcBorders>
              <w:top w:val="single" w:color="auto" w:sz="4" w:space="0"/>
              <w:left w:val="single" w:color="auto" w:sz="4" w:space="0"/>
              <w:bottom w:val="single" w:color="auto" w:sz="4" w:space="0"/>
              <w:right w:val="single" w:color="auto" w:sz="4" w:space="0"/>
            </w:tcBorders>
            <w:shd w:val="clear" w:color="auto" w:fill="auto"/>
          </w:tcPr>
          <w:p>
            <w:pPr>
              <w:widowControl/>
              <w:spacing w:line="340" w:lineRule="exact"/>
              <w:rPr>
                <w:rFonts w:ascii="微软雅黑" w:hAnsi="微软雅黑" w:eastAsia="微软雅黑" w:cs="宋体"/>
                <w:color w:val="auto"/>
                <w:kern w:val="0"/>
                <w:sz w:val="24"/>
                <w:szCs w:val="24"/>
                <w:lang w:eastAsia="zh-TW"/>
              </w:rPr>
            </w:pPr>
            <w:r>
              <w:rPr>
                <w:rFonts w:ascii="微软雅黑" w:hAnsi="微软雅黑" w:eastAsia="微软雅黑" w:cs="宋体"/>
                <w:color w:val="auto"/>
                <w:kern w:val="0"/>
                <w:sz w:val="24"/>
                <w:szCs w:val="24"/>
              </w:rPr>
              <w:t>300</w:t>
            </w:r>
            <w:r>
              <w:rPr>
                <w:rFonts w:hint="eastAsia" w:ascii="微软雅黑" w:hAnsi="微软雅黑" w:eastAsia="微软雅黑" w:cs="宋体"/>
                <w:color w:val="auto"/>
                <w:kern w:val="0"/>
                <w:sz w:val="24"/>
                <w:szCs w:val="24"/>
              </w:rPr>
              <w:t>万美元以上</w:t>
            </w:r>
            <w:r>
              <w:rPr>
                <w:rFonts w:ascii="微软雅黑" w:hAnsi="微软雅黑" w:eastAsia="微软雅黑" w:cs="宋体"/>
                <w:color w:val="auto"/>
                <w:kern w:val="0"/>
                <w:sz w:val="24"/>
                <w:szCs w:val="24"/>
              </w:rPr>
              <w:t>1,000</w:t>
            </w:r>
            <w:r>
              <w:rPr>
                <w:rFonts w:hint="eastAsia" w:ascii="微软雅黑" w:hAnsi="微软雅黑" w:eastAsia="微软雅黑" w:cs="宋体"/>
                <w:color w:val="auto"/>
                <w:kern w:val="0"/>
                <w:sz w:val="24"/>
                <w:szCs w:val="24"/>
              </w:rPr>
              <w:t>万美元以下</w:t>
            </w:r>
            <w:r>
              <w:rPr>
                <w:rFonts w:ascii="微软雅黑" w:hAnsi="微软雅黑" w:eastAsia="微软雅黑" w:cs="宋体"/>
                <w:color w:val="auto"/>
                <w:kern w:val="0"/>
                <w:sz w:val="24"/>
                <w:szCs w:val="24"/>
              </w:rPr>
              <w:t>(</w:t>
            </w:r>
            <w:r>
              <w:rPr>
                <w:rFonts w:hint="eastAsia" w:ascii="微软雅黑" w:hAnsi="微软雅黑" w:eastAsia="微软雅黑" w:cs="宋体"/>
                <w:color w:val="auto"/>
                <w:kern w:val="0"/>
                <w:sz w:val="24"/>
                <w:szCs w:val="24"/>
              </w:rPr>
              <w:t>含</w:t>
            </w:r>
            <w:r>
              <w:rPr>
                <w:rFonts w:ascii="微软雅黑" w:hAnsi="微软雅黑" w:eastAsia="微软雅黑" w:cs="宋体"/>
                <w:color w:val="auto"/>
                <w:kern w:val="0"/>
                <w:sz w:val="24"/>
                <w:szCs w:val="24"/>
              </w:rPr>
              <w:t>1,000</w:t>
            </w:r>
            <w:r>
              <w:rPr>
                <w:rFonts w:hint="eastAsia" w:ascii="微软雅黑" w:hAnsi="微软雅黑" w:eastAsia="微软雅黑" w:cs="宋体"/>
                <w:color w:val="auto"/>
                <w:kern w:val="0"/>
                <w:sz w:val="24"/>
                <w:szCs w:val="24"/>
              </w:rPr>
              <w:t>万美元</w:t>
            </w:r>
            <w:r>
              <w:rPr>
                <w:rFonts w:ascii="微软雅黑" w:hAnsi="微软雅黑" w:eastAsia="微软雅黑" w:cs="宋体"/>
                <w:color w:val="auto"/>
                <w:kern w:val="0"/>
                <w:sz w:val="24"/>
                <w:szCs w:val="24"/>
              </w:rPr>
              <w:t>)</w:t>
            </w:r>
          </w:p>
        </w:tc>
        <w:tc>
          <w:tcPr>
            <w:tcW w:w="4451" w:type="dxa"/>
            <w:tcBorders>
              <w:top w:val="single" w:color="auto" w:sz="4" w:space="0"/>
              <w:left w:val="nil"/>
              <w:bottom w:val="single" w:color="auto" w:sz="4" w:space="0"/>
              <w:right w:val="single" w:color="auto" w:sz="4" w:space="0"/>
            </w:tcBorders>
            <w:shd w:val="clear" w:color="auto" w:fill="auto"/>
          </w:tcPr>
          <w:p>
            <w:pPr>
              <w:widowControl/>
              <w:spacing w:line="340" w:lineRule="exact"/>
              <w:rPr>
                <w:rFonts w:ascii="微软雅黑" w:hAnsi="微软雅黑" w:eastAsia="微软雅黑" w:cs="宋体"/>
                <w:color w:val="auto"/>
                <w:kern w:val="0"/>
                <w:sz w:val="24"/>
                <w:szCs w:val="24"/>
              </w:rPr>
            </w:pPr>
            <w:r>
              <w:rPr>
                <w:rFonts w:hint="eastAsia" w:ascii="微软雅黑" w:hAnsi="微软雅黑" w:eastAsia="微软雅黑" w:cs="宋体"/>
                <w:color w:val="auto"/>
                <w:kern w:val="0"/>
                <w:sz w:val="24"/>
                <w:szCs w:val="24"/>
              </w:rPr>
              <w:t>注册资本至少应占投资总额的</w:t>
            </w:r>
            <w:r>
              <w:rPr>
                <w:rFonts w:ascii="微软雅黑" w:hAnsi="微软雅黑" w:eastAsia="微软雅黑" w:cs="宋体"/>
                <w:color w:val="auto"/>
                <w:kern w:val="0"/>
                <w:sz w:val="24"/>
                <w:szCs w:val="24"/>
              </w:rPr>
              <w:t>50%</w:t>
            </w:r>
            <w:r>
              <w:rPr>
                <w:rFonts w:hint="eastAsia" w:ascii="微软雅黑" w:hAnsi="微软雅黑" w:eastAsia="微软雅黑" w:cs="宋体"/>
                <w:color w:val="auto"/>
                <w:kern w:val="0"/>
                <w:sz w:val="24"/>
                <w:szCs w:val="24"/>
              </w:rPr>
              <w:t>，其中投资总额在</w:t>
            </w:r>
            <w:r>
              <w:rPr>
                <w:rFonts w:ascii="微软雅黑" w:hAnsi="微软雅黑" w:eastAsia="微软雅黑" w:cs="宋体"/>
                <w:color w:val="auto"/>
                <w:kern w:val="0"/>
                <w:sz w:val="24"/>
                <w:szCs w:val="24"/>
              </w:rPr>
              <w:t>420</w:t>
            </w:r>
            <w:r>
              <w:rPr>
                <w:rFonts w:hint="eastAsia" w:ascii="微软雅黑" w:hAnsi="微软雅黑" w:eastAsia="微软雅黑" w:cs="宋体"/>
                <w:color w:val="auto"/>
                <w:kern w:val="0"/>
                <w:sz w:val="24"/>
                <w:szCs w:val="24"/>
              </w:rPr>
              <w:t>万美元以下的，注册资本不得低于</w:t>
            </w:r>
            <w:r>
              <w:rPr>
                <w:rFonts w:ascii="微软雅黑" w:hAnsi="微软雅黑" w:eastAsia="微软雅黑" w:cs="宋体"/>
                <w:color w:val="auto"/>
                <w:kern w:val="0"/>
                <w:sz w:val="24"/>
                <w:szCs w:val="24"/>
              </w:rPr>
              <w:t>210</w:t>
            </w:r>
            <w:r>
              <w:rPr>
                <w:rFonts w:hint="eastAsia" w:ascii="微软雅黑" w:hAnsi="微软雅黑" w:eastAsia="微软雅黑" w:cs="宋体"/>
                <w:color w:val="auto"/>
                <w:kern w:val="0"/>
                <w:sz w:val="24"/>
                <w:szCs w:val="24"/>
              </w:rPr>
              <w:t>万美元</w:t>
            </w:r>
          </w:p>
        </w:tc>
      </w:tr>
      <w:tr>
        <w:tblPrEx>
          <w:tblLayout w:type="fixed"/>
          <w:tblCellMar>
            <w:top w:w="0" w:type="dxa"/>
            <w:left w:w="108" w:type="dxa"/>
            <w:bottom w:w="0" w:type="dxa"/>
            <w:right w:w="108" w:type="dxa"/>
          </w:tblCellMar>
        </w:tblPrEx>
        <w:trPr>
          <w:trHeight w:val="1107" w:hRule="atLeast"/>
          <w:jc w:val="center"/>
        </w:trPr>
        <w:tc>
          <w:tcPr>
            <w:tcW w:w="3701" w:type="dxa"/>
            <w:tcBorders>
              <w:top w:val="single" w:color="auto" w:sz="4" w:space="0"/>
              <w:left w:val="single" w:color="auto" w:sz="4" w:space="0"/>
              <w:bottom w:val="single" w:color="auto" w:sz="4" w:space="0"/>
              <w:right w:val="single" w:color="auto" w:sz="4" w:space="0"/>
            </w:tcBorders>
            <w:shd w:val="clear" w:color="auto" w:fill="auto"/>
          </w:tcPr>
          <w:p>
            <w:pPr>
              <w:widowControl/>
              <w:spacing w:line="340" w:lineRule="exact"/>
              <w:rPr>
                <w:rFonts w:ascii="微软雅黑" w:hAnsi="微软雅黑" w:eastAsia="微软雅黑" w:cs="宋体"/>
                <w:color w:val="auto"/>
                <w:kern w:val="0"/>
                <w:sz w:val="24"/>
                <w:szCs w:val="24"/>
                <w:lang w:eastAsia="zh-TW"/>
              </w:rPr>
            </w:pPr>
            <w:r>
              <w:rPr>
                <w:rFonts w:ascii="微软雅黑" w:hAnsi="微软雅黑" w:eastAsia="微软雅黑" w:cs="宋体"/>
                <w:color w:val="auto"/>
                <w:kern w:val="0"/>
                <w:sz w:val="24"/>
                <w:szCs w:val="24"/>
              </w:rPr>
              <w:t>1,000</w:t>
            </w:r>
            <w:r>
              <w:rPr>
                <w:rFonts w:hint="eastAsia" w:ascii="微软雅黑" w:hAnsi="微软雅黑" w:eastAsia="微软雅黑" w:cs="宋体"/>
                <w:color w:val="auto"/>
                <w:kern w:val="0"/>
                <w:sz w:val="24"/>
                <w:szCs w:val="24"/>
              </w:rPr>
              <w:t>万美元以上</w:t>
            </w:r>
            <w:r>
              <w:rPr>
                <w:rFonts w:ascii="微软雅黑" w:hAnsi="微软雅黑" w:eastAsia="微软雅黑" w:cs="宋体"/>
                <w:color w:val="auto"/>
                <w:kern w:val="0"/>
                <w:sz w:val="24"/>
                <w:szCs w:val="24"/>
              </w:rPr>
              <w:t>3,000</w:t>
            </w:r>
            <w:r>
              <w:rPr>
                <w:rFonts w:hint="eastAsia" w:ascii="微软雅黑" w:hAnsi="微软雅黑" w:eastAsia="微软雅黑" w:cs="宋体"/>
                <w:color w:val="auto"/>
                <w:kern w:val="0"/>
                <w:sz w:val="24"/>
                <w:szCs w:val="24"/>
              </w:rPr>
              <w:t>万美元以下</w:t>
            </w:r>
            <w:r>
              <w:rPr>
                <w:rFonts w:ascii="微软雅黑" w:hAnsi="微软雅黑" w:eastAsia="微软雅黑" w:cs="宋体"/>
                <w:color w:val="auto"/>
                <w:kern w:val="0"/>
                <w:sz w:val="24"/>
                <w:szCs w:val="24"/>
              </w:rPr>
              <w:t>(</w:t>
            </w:r>
            <w:r>
              <w:rPr>
                <w:rFonts w:hint="eastAsia" w:ascii="微软雅黑" w:hAnsi="微软雅黑" w:eastAsia="微软雅黑" w:cs="宋体"/>
                <w:color w:val="auto"/>
                <w:kern w:val="0"/>
                <w:sz w:val="24"/>
                <w:szCs w:val="24"/>
              </w:rPr>
              <w:t>含</w:t>
            </w:r>
            <w:r>
              <w:rPr>
                <w:rFonts w:ascii="微软雅黑" w:hAnsi="微软雅黑" w:eastAsia="微软雅黑" w:cs="宋体"/>
                <w:color w:val="auto"/>
                <w:kern w:val="0"/>
                <w:sz w:val="24"/>
                <w:szCs w:val="24"/>
              </w:rPr>
              <w:t>3,000</w:t>
            </w:r>
            <w:r>
              <w:rPr>
                <w:rFonts w:hint="eastAsia" w:ascii="微软雅黑" w:hAnsi="微软雅黑" w:eastAsia="微软雅黑" w:cs="宋体"/>
                <w:color w:val="auto"/>
                <w:kern w:val="0"/>
                <w:sz w:val="24"/>
                <w:szCs w:val="24"/>
              </w:rPr>
              <w:t>万美元</w:t>
            </w:r>
            <w:r>
              <w:rPr>
                <w:rFonts w:ascii="微软雅黑" w:hAnsi="微软雅黑" w:eastAsia="微软雅黑" w:cs="宋体"/>
                <w:color w:val="auto"/>
                <w:kern w:val="0"/>
                <w:sz w:val="24"/>
                <w:szCs w:val="24"/>
              </w:rPr>
              <w:t>)</w:t>
            </w:r>
          </w:p>
        </w:tc>
        <w:tc>
          <w:tcPr>
            <w:tcW w:w="4451" w:type="dxa"/>
            <w:tcBorders>
              <w:top w:val="single" w:color="auto" w:sz="4" w:space="0"/>
              <w:left w:val="nil"/>
              <w:bottom w:val="single" w:color="auto" w:sz="4" w:space="0"/>
              <w:right w:val="single" w:color="auto" w:sz="4" w:space="0"/>
            </w:tcBorders>
            <w:shd w:val="clear" w:color="auto" w:fill="auto"/>
          </w:tcPr>
          <w:p>
            <w:pPr>
              <w:widowControl/>
              <w:spacing w:line="340" w:lineRule="exact"/>
              <w:rPr>
                <w:rFonts w:ascii="微软雅黑" w:hAnsi="微软雅黑" w:eastAsia="微软雅黑" w:cs="宋体"/>
                <w:color w:val="auto"/>
                <w:kern w:val="0"/>
                <w:sz w:val="24"/>
                <w:szCs w:val="24"/>
              </w:rPr>
            </w:pPr>
            <w:r>
              <w:rPr>
                <w:rFonts w:hint="eastAsia" w:ascii="微软雅黑" w:hAnsi="微软雅黑" w:eastAsia="微软雅黑" w:cs="宋体"/>
                <w:color w:val="auto"/>
                <w:kern w:val="0"/>
                <w:sz w:val="24"/>
                <w:szCs w:val="24"/>
              </w:rPr>
              <w:t>注册资本至少应占投资总额的</w:t>
            </w:r>
            <w:r>
              <w:rPr>
                <w:rFonts w:ascii="微软雅黑" w:hAnsi="微软雅黑" w:eastAsia="微软雅黑" w:cs="宋体"/>
                <w:color w:val="auto"/>
                <w:kern w:val="0"/>
                <w:sz w:val="24"/>
                <w:szCs w:val="24"/>
              </w:rPr>
              <w:t>40%</w:t>
            </w:r>
            <w:r>
              <w:rPr>
                <w:rFonts w:hint="eastAsia" w:ascii="微软雅黑" w:hAnsi="微软雅黑" w:eastAsia="微软雅黑" w:cs="宋体"/>
                <w:color w:val="auto"/>
                <w:kern w:val="0"/>
                <w:sz w:val="24"/>
                <w:szCs w:val="24"/>
              </w:rPr>
              <w:t>，其中投资总额在</w:t>
            </w:r>
            <w:r>
              <w:rPr>
                <w:rFonts w:ascii="微软雅黑" w:hAnsi="微软雅黑" w:eastAsia="微软雅黑" w:cs="宋体"/>
                <w:color w:val="auto"/>
                <w:kern w:val="0"/>
                <w:sz w:val="24"/>
                <w:szCs w:val="24"/>
              </w:rPr>
              <w:t>1,250</w:t>
            </w:r>
            <w:r>
              <w:rPr>
                <w:rFonts w:hint="eastAsia" w:ascii="微软雅黑" w:hAnsi="微软雅黑" w:eastAsia="微软雅黑" w:cs="宋体"/>
                <w:color w:val="auto"/>
                <w:kern w:val="0"/>
                <w:sz w:val="24"/>
                <w:szCs w:val="24"/>
              </w:rPr>
              <w:t>万美元以下的，注册资本不得低于</w:t>
            </w:r>
            <w:r>
              <w:rPr>
                <w:rFonts w:ascii="微软雅黑" w:hAnsi="微软雅黑" w:eastAsia="微软雅黑" w:cs="宋体"/>
                <w:color w:val="auto"/>
                <w:kern w:val="0"/>
                <w:sz w:val="24"/>
                <w:szCs w:val="24"/>
              </w:rPr>
              <w:t>500</w:t>
            </w:r>
            <w:r>
              <w:rPr>
                <w:rFonts w:hint="eastAsia" w:ascii="微软雅黑" w:hAnsi="微软雅黑" w:eastAsia="微软雅黑" w:cs="宋体"/>
                <w:color w:val="auto"/>
                <w:kern w:val="0"/>
                <w:sz w:val="24"/>
                <w:szCs w:val="24"/>
              </w:rPr>
              <w:t>万美元</w:t>
            </w:r>
          </w:p>
        </w:tc>
      </w:tr>
      <w:tr>
        <w:tblPrEx>
          <w:tblLayout w:type="fixed"/>
          <w:tblCellMar>
            <w:top w:w="0" w:type="dxa"/>
            <w:left w:w="108" w:type="dxa"/>
            <w:bottom w:w="0" w:type="dxa"/>
            <w:right w:w="108" w:type="dxa"/>
          </w:tblCellMar>
        </w:tblPrEx>
        <w:trPr>
          <w:trHeight w:val="1137" w:hRule="atLeast"/>
          <w:jc w:val="center"/>
        </w:trPr>
        <w:tc>
          <w:tcPr>
            <w:tcW w:w="3701" w:type="dxa"/>
            <w:tcBorders>
              <w:top w:val="nil"/>
              <w:left w:val="single" w:color="auto" w:sz="4" w:space="0"/>
              <w:bottom w:val="single" w:color="auto" w:sz="4" w:space="0"/>
              <w:right w:val="single" w:color="auto" w:sz="4" w:space="0"/>
            </w:tcBorders>
            <w:shd w:val="clear" w:color="auto" w:fill="auto"/>
          </w:tcPr>
          <w:p>
            <w:pPr>
              <w:widowControl/>
              <w:spacing w:line="340" w:lineRule="exact"/>
              <w:rPr>
                <w:rFonts w:ascii="微软雅黑" w:hAnsi="微软雅黑" w:eastAsia="微软雅黑" w:cs="宋体"/>
                <w:color w:val="auto"/>
                <w:kern w:val="0"/>
                <w:sz w:val="24"/>
                <w:szCs w:val="24"/>
                <w:lang w:eastAsia="zh-TW"/>
              </w:rPr>
            </w:pPr>
            <w:r>
              <w:rPr>
                <w:rFonts w:ascii="微软雅黑" w:hAnsi="微软雅黑" w:eastAsia="微软雅黑" w:cs="宋体"/>
                <w:color w:val="auto"/>
                <w:kern w:val="0"/>
                <w:sz w:val="24"/>
                <w:szCs w:val="24"/>
              </w:rPr>
              <w:t>3,000</w:t>
            </w:r>
            <w:r>
              <w:rPr>
                <w:rFonts w:hint="eastAsia" w:ascii="微软雅黑" w:hAnsi="微软雅黑" w:eastAsia="微软雅黑" w:cs="宋体"/>
                <w:color w:val="auto"/>
                <w:kern w:val="0"/>
                <w:sz w:val="24"/>
                <w:szCs w:val="24"/>
              </w:rPr>
              <w:t>万美元以上</w:t>
            </w:r>
          </w:p>
        </w:tc>
        <w:tc>
          <w:tcPr>
            <w:tcW w:w="4451" w:type="dxa"/>
            <w:tcBorders>
              <w:top w:val="nil"/>
              <w:left w:val="nil"/>
              <w:bottom w:val="single" w:color="auto" w:sz="4" w:space="0"/>
              <w:right w:val="single" w:color="auto" w:sz="4" w:space="0"/>
            </w:tcBorders>
            <w:shd w:val="clear" w:color="auto" w:fill="auto"/>
          </w:tcPr>
          <w:p>
            <w:pPr>
              <w:widowControl/>
              <w:spacing w:line="340" w:lineRule="exact"/>
              <w:rPr>
                <w:rFonts w:ascii="微软雅黑" w:hAnsi="微软雅黑" w:eastAsia="微软雅黑" w:cs="宋体"/>
                <w:color w:val="auto"/>
                <w:kern w:val="0"/>
                <w:sz w:val="24"/>
                <w:szCs w:val="24"/>
              </w:rPr>
            </w:pPr>
            <w:r>
              <w:rPr>
                <w:rFonts w:hint="eastAsia" w:ascii="微软雅黑" w:hAnsi="微软雅黑" w:eastAsia="微软雅黑" w:cs="宋体"/>
                <w:color w:val="auto"/>
                <w:kern w:val="0"/>
                <w:sz w:val="24"/>
                <w:szCs w:val="24"/>
              </w:rPr>
              <w:t>注册资本至少应占投资总额的三分之一，其中投资总额在</w:t>
            </w:r>
            <w:r>
              <w:rPr>
                <w:rFonts w:ascii="微软雅黑" w:hAnsi="微软雅黑" w:eastAsia="微软雅黑" w:cs="宋体"/>
                <w:color w:val="auto"/>
                <w:kern w:val="0"/>
                <w:sz w:val="24"/>
                <w:szCs w:val="24"/>
              </w:rPr>
              <w:t>3,600</w:t>
            </w:r>
            <w:r>
              <w:rPr>
                <w:rFonts w:hint="eastAsia" w:ascii="微软雅黑" w:hAnsi="微软雅黑" w:eastAsia="微软雅黑" w:cs="宋体"/>
                <w:color w:val="auto"/>
                <w:kern w:val="0"/>
                <w:sz w:val="24"/>
                <w:szCs w:val="24"/>
              </w:rPr>
              <w:t>万美元以下的，注册资本不得低</w:t>
            </w:r>
            <w:r>
              <w:rPr>
                <w:rFonts w:ascii="微软雅黑" w:hAnsi="微软雅黑" w:eastAsia="微软雅黑" w:cs="宋体"/>
                <w:color w:val="auto"/>
                <w:kern w:val="0"/>
                <w:sz w:val="24"/>
                <w:szCs w:val="24"/>
              </w:rPr>
              <w:t>1,200</w:t>
            </w:r>
            <w:r>
              <w:rPr>
                <w:rFonts w:hint="eastAsia" w:ascii="微软雅黑" w:hAnsi="微软雅黑" w:eastAsia="微软雅黑" w:cs="宋体"/>
                <w:color w:val="auto"/>
                <w:kern w:val="0"/>
                <w:sz w:val="24"/>
                <w:szCs w:val="24"/>
              </w:rPr>
              <w:t>万美元</w:t>
            </w:r>
          </w:p>
        </w:tc>
      </w:tr>
    </w:tbl>
    <w:p>
      <w:pPr>
        <w:spacing w:before="312" w:beforeLines="100" w:line="400" w:lineRule="exact"/>
        <w:rPr>
          <w:rFonts w:ascii="微软雅黑" w:hAnsi="微软雅黑" w:eastAsia="微软雅黑"/>
          <w:color w:val="auto"/>
          <w:sz w:val="24"/>
          <w:szCs w:val="24"/>
        </w:rPr>
      </w:pPr>
    </w:p>
    <w:p>
      <w:pPr>
        <w:widowControl/>
        <w:jc w:val="left"/>
        <w:rPr>
          <w:rFonts w:ascii="微软雅黑" w:hAnsi="微软雅黑" w:eastAsia="微软雅黑"/>
          <w:color w:val="auto"/>
          <w:sz w:val="24"/>
          <w:szCs w:val="24"/>
        </w:rPr>
      </w:pPr>
      <w:r>
        <w:rPr>
          <w:rFonts w:ascii="微软雅黑" w:hAnsi="微软雅黑" w:eastAsia="微软雅黑"/>
          <w:color w:val="auto"/>
          <w:sz w:val="24"/>
          <w:szCs w:val="24"/>
        </w:rPr>
        <w:br w:type="page"/>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虽然有上述注册资本最低额的规定，在实际操作中，负责审批的商务部门会对外资企业的注册资本额是否与其经营规模相适应做出判断，决定是否批准其设立。对于外商投资企业投资总额和注册资本的具体要求，可以向具有执业资格的中国律师事务所或专业咨询机构查询，并与主管的商务部门和工商行政管理部门沟通。此外，修订后的《公司法》将改变现行公司工商登记注册手续及办事流程。有意在成都设立公司的香港投资者应密切留意修订后《公司法》的实施情况。</w:t>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rPr>
      </w:pPr>
      <w:r>
        <w:rPr>
          <w:rFonts w:hint="eastAsia" w:ascii="微软雅黑" w:hAnsi="微软雅黑" w:eastAsia="微软雅黑"/>
          <w:b/>
          <w:color w:val="auto"/>
          <w:sz w:val="24"/>
          <w:szCs w:val="24"/>
          <w:u w:val="single"/>
        </w:rPr>
        <w:t>租赁公司办公场所的要求</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若投资者需租赁经营场所，在准备租赁合同时需要注意以下几点：</w:t>
      </w:r>
    </w:p>
    <w:p>
      <w:pPr>
        <w:pStyle w:val="28"/>
        <w:numPr>
          <w:ilvl w:val="0"/>
          <w:numId w:val="12"/>
        </w:numPr>
        <w:spacing w:before="156" w:beforeLines="50"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租赁合同应该由投资者的法定代表人或授权签字人签署；</w:t>
      </w:r>
    </w:p>
    <w:p>
      <w:pPr>
        <w:pStyle w:val="28"/>
        <w:numPr>
          <w:ilvl w:val="0"/>
          <w:numId w:val="12"/>
        </w:numPr>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租赁合同中应写明该房屋将登记为拟成立的外商投资企业的所在，在外商投资企业登记注册后承租方将由投资方转为该外商投资企业；</w:t>
      </w:r>
    </w:p>
    <w:p>
      <w:pPr>
        <w:pStyle w:val="28"/>
        <w:numPr>
          <w:ilvl w:val="0"/>
          <w:numId w:val="12"/>
        </w:numPr>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房屋拥有者应该提供所租房屋的《房屋所有权证》。对于使用暂未取得房屋所有权证的房屋从事经营的，应当提交工商部门要求的相应证明文件；</w:t>
      </w:r>
    </w:p>
    <w:p>
      <w:pPr>
        <w:pStyle w:val="28"/>
        <w:numPr>
          <w:ilvl w:val="0"/>
          <w:numId w:val="12"/>
        </w:numPr>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 xml:space="preserve">作为经营场所的房屋，其《房屋所有权证》上列明的房屋用途一般须为商业用途。若投资人租赁住宅并将其改变为经营性用房的，应当符合国家和所在地法律或管理的规定。住宅及住宅楼底层规划为商业用途的房屋不得从事餐饮服务、歌舞娱乐、提供互联网上网服务、生产加工和制造、经营危险化学品等活动，以及其他禁止经营的行业。 </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设立外商投资企业时的对于企业经营场所的具体规定，请参考成都市工商行政管理局网站（</w:t>
      </w:r>
      <w:r>
        <w:rPr>
          <w:color w:val="auto"/>
        </w:rPr>
        <w:fldChar w:fldCharType="begin"/>
      </w:r>
      <w:r>
        <w:rPr>
          <w:color w:val="auto"/>
        </w:rPr>
        <w:instrText xml:space="preserve"> HYPERLINK "http://www.cdgs.gov.cn" </w:instrText>
      </w:r>
      <w:r>
        <w:rPr>
          <w:color w:val="auto"/>
        </w:rPr>
        <w:fldChar w:fldCharType="separate"/>
      </w:r>
      <w:r>
        <w:rPr>
          <w:rFonts w:ascii="微软雅黑" w:hAnsi="微软雅黑" w:eastAsia="微软雅黑"/>
          <w:color w:val="auto"/>
          <w:sz w:val="24"/>
          <w:szCs w:val="24"/>
        </w:rPr>
        <w:t>http://www.cdgs.gov.cn</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w:t>
      </w:r>
    </w:p>
    <w:p>
      <w:pPr>
        <w:pStyle w:val="28"/>
        <w:numPr>
          <w:ilvl w:val="0"/>
          <w:numId w:val="2"/>
        </w:numPr>
        <w:spacing w:before="780" w:beforeLines="25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劳工</w:t>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lang w:eastAsia="zh-TW"/>
        </w:rPr>
      </w:pPr>
      <w:r>
        <w:rPr>
          <w:rFonts w:hint="eastAsia" w:ascii="微软雅黑" w:hAnsi="微软雅黑" w:eastAsia="微软雅黑"/>
          <w:b/>
          <w:color w:val="auto"/>
          <w:sz w:val="24"/>
          <w:szCs w:val="24"/>
          <w:u w:val="single"/>
        </w:rPr>
        <w:t>内地劳动法律、法规</w:t>
      </w:r>
    </w:p>
    <w:p>
      <w:pPr>
        <w:spacing w:before="156" w:beforeLines="5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《中华人民共和国劳动合同法》自</w:t>
      </w:r>
      <w:r>
        <w:rPr>
          <w:rFonts w:ascii="微软雅黑" w:hAnsi="微软雅黑" w:eastAsia="微软雅黑"/>
          <w:color w:val="auto"/>
          <w:sz w:val="24"/>
          <w:szCs w:val="24"/>
        </w:rPr>
        <w:t>2008</w:t>
      </w:r>
      <w:r>
        <w:rPr>
          <w:rFonts w:hint="eastAsia" w:ascii="微软雅黑" w:hAnsi="微软雅黑" w:eastAsia="微软雅黑"/>
          <w:color w:val="auto"/>
          <w:sz w:val="24"/>
          <w:szCs w:val="24"/>
        </w:rPr>
        <w:t>年</w:t>
      </w:r>
      <w:r>
        <w:rPr>
          <w:rFonts w:ascii="微软雅黑" w:hAnsi="微软雅黑" w:eastAsia="微软雅黑"/>
          <w:color w:val="auto"/>
          <w:sz w:val="24"/>
          <w:szCs w:val="24"/>
        </w:rPr>
        <w:t>1</w:t>
      </w:r>
      <w:r>
        <w:rPr>
          <w:rFonts w:hint="eastAsia" w:ascii="微软雅黑" w:hAnsi="微软雅黑" w:eastAsia="微软雅黑"/>
          <w:color w:val="auto"/>
          <w:sz w:val="24"/>
          <w:szCs w:val="24"/>
        </w:rPr>
        <w:t>月</w:t>
      </w:r>
      <w:r>
        <w:rPr>
          <w:rFonts w:ascii="微软雅黑" w:hAnsi="微软雅黑" w:eastAsia="微软雅黑"/>
          <w:color w:val="auto"/>
          <w:sz w:val="24"/>
          <w:szCs w:val="24"/>
        </w:rPr>
        <w:t>1</w:t>
      </w:r>
      <w:r>
        <w:rPr>
          <w:rFonts w:hint="eastAsia" w:ascii="微软雅黑" w:hAnsi="微软雅黑" w:eastAsia="微软雅黑"/>
          <w:color w:val="auto"/>
          <w:sz w:val="24"/>
          <w:szCs w:val="24"/>
        </w:rPr>
        <w:t>日起施行，对中国境内的企业和各类组织与劳动者建立劳动关系，订立、履行、变更、解除或者终止劳动合同加以规定。</w:t>
      </w:r>
      <w:r>
        <w:rPr>
          <w:rFonts w:ascii="微软雅黑" w:hAnsi="微软雅黑" w:eastAsia="微软雅黑"/>
          <w:color w:val="auto"/>
          <w:sz w:val="24"/>
          <w:szCs w:val="24"/>
        </w:rPr>
        <w:t>2012</w:t>
      </w:r>
      <w:r>
        <w:rPr>
          <w:rFonts w:hint="eastAsia" w:ascii="微软雅黑" w:hAnsi="微软雅黑" w:eastAsia="微软雅黑"/>
          <w:color w:val="auto"/>
          <w:sz w:val="24"/>
          <w:szCs w:val="24"/>
        </w:rPr>
        <w:t>年全国人大常委会对</w:t>
      </w:r>
      <w:r>
        <w:rPr>
          <w:rFonts w:ascii="微软雅黑" w:hAnsi="微软雅黑" w:eastAsia="微软雅黑"/>
          <w:color w:val="auto"/>
          <w:sz w:val="24"/>
          <w:szCs w:val="24"/>
        </w:rPr>
        <w:t>2008</w:t>
      </w:r>
      <w:r>
        <w:rPr>
          <w:rFonts w:hint="eastAsia" w:ascii="微软雅黑" w:hAnsi="微软雅黑" w:eastAsia="微软雅黑"/>
          <w:color w:val="auto"/>
          <w:sz w:val="24"/>
          <w:szCs w:val="24"/>
        </w:rPr>
        <w:t>年开始实施的劳动合同法加以修改，修改后的《劳动合同法》自</w:t>
      </w:r>
      <w:r>
        <w:rPr>
          <w:rFonts w:ascii="微软雅黑" w:hAnsi="微软雅黑" w:eastAsia="微软雅黑"/>
          <w:color w:val="auto"/>
          <w:sz w:val="24"/>
          <w:szCs w:val="24"/>
        </w:rPr>
        <w:t>2013</w:t>
      </w:r>
      <w:r>
        <w:rPr>
          <w:rFonts w:hint="eastAsia" w:ascii="微软雅黑" w:hAnsi="微软雅黑" w:eastAsia="微软雅黑"/>
          <w:color w:val="auto"/>
          <w:sz w:val="24"/>
          <w:szCs w:val="24"/>
        </w:rPr>
        <w:t>年</w:t>
      </w:r>
      <w:r>
        <w:rPr>
          <w:rFonts w:ascii="微软雅黑" w:hAnsi="微软雅黑" w:eastAsia="微软雅黑"/>
          <w:color w:val="auto"/>
          <w:sz w:val="24"/>
          <w:szCs w:val="24"/>
        </w:rPr>
        <w:t>7</w:t>
      </w:r>
      <w:r>
        <w:rPr>
          <w:rFonts w:hint="eastAsia" w:ascii="微软雅黑" w:hAnsi="微软雅黑" w:eastAsia="微软雅黑"/>
          <w:color w:val="auto"/>
          <w:sz w:val="24"/>
          <w:szCs w:val="24"/>
        </w:rPr>
        <w:t>月</w:t>
      </w:r>
      <w:r>
        <w:rPr>
          <w:rFonts w:ascii="微软雅黑" w:hAnsi="微软雅黑" w:eastAsia="微软雅黑"/>
          <w:color w:val="auto"/>
          <w:sz w:val="24"/>
          <w:szCs w:val="24"/>
        </w:rPr>
        <w:t>1</w:t>
      </w:r>
      <w:r>
        <w:rPr>
          <w:rFonts w:hint="eastAsia" w:ascii="微软雅黑" w:hAnsi="微软雅黑" w:eastAsia="微软雅黑"/>
          <w:color w:val="auto"/>
          <w:sz w:val="24"/>
          <w:szCs w:val="24"/>
        </w:rPr>
        <w:t>日起实施。</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劳动合同法》要求企业与员工建立劳动关系，应当订立书面劳动合同。对于企业不与员工签订劳动合同的情形，若企业自用工之日起满一年不与劳动者订立书面劳动合同的，视为用人单位与劳动者已订立无固定期限劳动合同，同时自用工之日满一个月起至用工之日起满一年的期间，应当向劳动者每月支付二倍的工资。</w:t>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rPr>
      </w:pPr>
      <w:r>
        <w:rPr>
          <w:rFonts w:hint="eastAsia" w:ascii="微软雅黑" w:hAnsi="微软雅黑" w:eastAsia="微软雅黑"/>
          <w:b/>
          <w:color w:val="auto"/>
          <w:sz w:val="24"/>
          <w:szCs w:val="24"/>
          <w:u w:val="single"/>
        </w:rPr>
        <w:t>雇用员工方面应注意的问题</w:t>
      </w:r>
    </w:p>
    <w:p>
      <w:pPr>
        <w:pStyle w:val="28"/>
        <w:numPr>
          <w:ilvl w:val="0"/>
          <w:numId w:val="13"/>
        </w:numPr>
        <w:spacing w:before="312" w:beforeLines="100"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在员工招聘方面，外商投资企业与常驻代表机构有不同的人员招聘机制。依据</w:t>
      </w:r>
      <w:r>
        <w:rPr>
          <w:rFonts w:ascii="微软雅黑" w:hAnsi="微软雅黑" w:eastAsia="微软雅黑"/>
          <w:color w:val="auto"/>
          <w:sz w:val="24"/>
          <w:szCs w:val="24"/>
        </w:rPr>
        <w:t>1995</w:t>
      </w:r>
      <w:r>
        <w:rPr>
          <w:rFonts w:hint="eastAsia" w:ascii="微软雅黑" w:hAnsi="微软雅黑" w:eastAsia="微软雅黑"/>
          <w:color w:val="auto"/>
          <w:sz w:val="24"/>
          <w:szCs w:val="24"/>
        </w:rPr>
        <w:t>年生效的《中华人民共和国劳动法》等规定，外商投资企业可以根据经营需要，自行确定机构设置和人员编制，并自行招聘员工。招聘可以通过多种渠道进行，比如委托劳动部门认可的招聘中介、在新闻媒体上刊登招聘广告等等。</w:t>
      </w:r>
    </w:p>
    <w:p>
      <w:pPr>
        <w:pStyle w:val="28"/>
        <w:numPr>
          <w:ilvl w:val="0"/>
          <w:numId w:val="13"/>
        </w:numPr>
        <w:spacing w:before="156" w:beforeLines="50"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 xml:space="preserve">常驻代表机构若需要在中国境内雇用中国公民，则应通过具有涉外劳务派遣资格的单位进行劳务派遣。常驻代表机构与劳务派遣机构签订提供相应服务的合同，由劳务派遣机构与中国员工建立劳动合同关系。 </w:t>
      </w:r>
    </w:p>
    <w:p>
      <w:pPr>
        <w:pStyle w:val="28"/>
        <w:numPr>
          <w:ilvl w:val="0"/>
          <w:numId w:val="13"/>
        </w:numPr>
        <w:spacing w:before="156" w:beforeLines="50"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台、港、澳人员在内地企业就业实行就业许可制度。内地用人单位拟聘任或者接受被派遣港、澳、台居民的，应当为其申请办理就业证；而</w:t>
      </w: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 xml:space="preserve">在内地从事个体工商经营的，应当由本人申请办理就业证。 </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s="Times New Roman"/>
          <w:color w:val="auto"/>
          <w:sz w:val="24"/>
          <w:szCs w:val="24"/>
        </w:rPr>
      </w:pPr>
      <w:r>
        <w:rPr>
          <w:rFonts w:hint="eastAsia" w:ascii="微软雅黑" w:hAnsi="微软雅黑" w:eastAsia="微软雅黑" w:cs="Times New Roman"/>
          <w:color w:val="auto"/>
          <w:sz w:val="24"/>
          <w:szCs w:val="24"/>
        </w:rPr>
        <w:t>拟聘雇或者接受被派遣的</w:t>
      </w:r>
      <w:r>
        <w:rPr>
          <w:rFonts w:hint="eastAsia" w:ascii="微软雅黑" w:hAnsi="微软雅黑" w:eastAsia="微软雅黑" w:cs="Times New Roman"/>
          <w:color w:val="auto"/>
          <w:sz w:val="24"/>
          <w:szCs w:val="24"/>
          <w:lang w:eastAsia="zh-CN"/>
        </w:rPr>
        <w:t>港澳同胞</w:t>
      </w:r>
      <w:r>
        <w:rPr>
          <w:rFonts w:hint="eastAsia" w:ascii="微软雅黑" w:hAnsi="微软雅黑" w:eastAsia="微软雅黑" w:cs="Times New Roman"/>
          <w:color w:val="auto"/>
          <w:sz w:val="24"/>
          <w:szCs w:val="24"/>
        </w:rPr>
        <w:t>应当具备下列条件：</w:t>
      </w:r>
    </w:p>
    <w:p>
      <w:pPr>
        <w:pStyle w:val="28"/>
        <w:numPr>
          <w:ilvl w:val="0"/>
          <w:numId w:val="14"/>
        </w:numPr>
        <w:spacing w:before="156" w:beforeLines="50"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年龄</w:t>
      </w:r>
      <w:r>
        <w:rPr>
          <w:rFonts w:ascii="微软雅黑" w:hAnsi="微软雅黑" w:eastAsia="微软雅黑"/>
          <w:color w:val="auto"/>
          <w:sz w:val="24"/>
          <w:szCs w:val="24"/>
        </w:rPr>
        <w:t>18</w:t>
      </w:r>
      <w:r>
        <w:rPr>
          <w:rFonts w:hint="eastAsia" w:ascii="微软雅黑" w:hAnsi="微软雅黑" w:eastAsia="微软雅黑"/>
          <w:color w:val="auto"/>
          <w:sz w:val="24"/>
          <w:szCs w:val="24"/>
        </w:rPr>
        <w:t>至</w:t>
      </w:r>
      <w:r>
        <w:rPr>
          <w:rFonts w:ascii="微软雅黑" w:hAnsi="微软雅黑" w:eastAsia="微软雅黑"/>
          <w:color w:val="auto"/>
          <w:sz w:val="24"/>
          <w:szCs w:val="24"/>
        </w:rPr>
        <w:t>60</w:t>
      </w:r>
      <w:r>
        <w:rPr>
          <w:rFonts w:hint="eastAsia" w:ascii="微软雅黑" w:hAnsi="微软雅黑" w:eastAsia="微软雅黑"/>
          <w:color w:val="auto"/>
          <w:sz w:val="24"/>
          <w:szCs w:val="24"/>
        </w:rPr>
        <w:t>周岁（直接参与经营的投资者和内地急需的专业技术人员可超过</w:t>
      </w:r>
      <w:r>
        <w:rPr>
          <w:rFonts w:ascii="微软雅黑" w:hAnsi="微软雅黑" w:eastAsia="微软雅黑"/>
          <w:color w:val="auto"/>
          <w:sz w:val="24"/>
          <w:szCs w:val="24"/>
        </w:rPr>
        <w:t>60</w:t>
      </w:r>
      <w:r>
        <w:rPr>
          <w:rFonts w:hint="eastAsia" w:ascii="微软雅黑" w:hAnsi="微软雅黑" w:eastAsia="微软雅黑"/>
          <w:color w:val="auto"/>
          <w:sz w:val="24"/>
          <w:szCs w:val="24"/>
        </w:rPr>
        <w:t>周岁）；</w:t>
      </w:r>
    </w:p>
    <w:p>
      <w:pPr>
        <w:pStyle w:val="28"/>
        <w:numPr>
          <w:ilvl w:val="0"/>
          <w:numId w:val="14"/>
        </w:numPr>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身体健康；</w:t>
      </w:r>
    </w:p>
    <w:p>
      <w:pPr>
        <w:pStyle w:val="28"/>
        <w:numPr>
          <w:ilvl w:val="0"/>
          <w:numId w:val="14"/>
        </w:numPr>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持有有效旅行证件（包括回乡卡等有效证件）；</w:t>
      </w:r>
    </w:p>
    <w:p>
      <w:pPr>
        <w:pStyle w:val="28"/>
        <w:numPr>
          <w:ilvl w:val="0"/>
          <w:numId w:val="14"/>
        </w:numPr>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从事国家规定的职业（技术工种）的，应当按照国家有关规定，具有相应的资格证明；</w:t>
      </w:r>
    </w:p>
    <w:p>
      <w:pPr>
        <w:pStyle w:val="28"/>
        <w:numPr>
          <w:ilvl w:val="0"/>
          <w:numId w:val="14"/>
        </w:numPr>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法律、法规规定的其他条件。</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根据</w:t>
      </w:r>
      <w:r>
        <w:rPr>
          <w:rFonts w:ascii="微软雅黑" w:hAnsi="微软雅黑" w:eastAsia="微软雅黑"/>
          <w:color w:val="auto"/>
          <w:sz w:val="24"/>
          <w:szCs w:val="24"/>
        </w:rPr>
        <w:t>2011</w:t>
      </w:r>
      <w:r>
        <w:rPr>
          <w:rFonts w:hint="eastAsia" w:ascii="微软雅黑" w:hAnsi="微软雅黑" w:eastAsia="微软雅黑"/>
          <w:color w:val="auto"/>
          <w:sz w:val="24"/>
          <w:szCs w:val="24"/>
        </w:rPr>
        <w:t>年</w:t>
      </w:r>
      <w:r>
        <w:rPr>
          <w:rFonts w:ascii="微软雅黑" w:hAnsi="微软雅黑" w:eastAsia="微软雅黑"/>
          <w:color w:val="auto"/>
          <w:sz w:val="24"/>
          <w:szCs w:val="24"/>
        </w:rPr>
        <w:t>11</w:t>
      </w:r>
      <w:r>
        <w:rPr>
          <w:rFonts w:hint="eastAsia" w:ascii="微软雅黑" w:hAnsi="微软雅黑" w:eastAsia="微软雅黑"/>
          <w:color w:val="auto"/>
          <w:sz w:val="24"/>
          <w:szCs w:val="24"/>
        </w:rPr>
        <w:t>月生效的《个体工商户条例》，个体工商户可以根据经营需要招聘从业人员，对于其雇员人数没有限制。此外，个体工商户应当与聘用的雇员订立劳动合同，履行法律、行政法规规定和合同约定的义务。</w:t>
      </w:r>
    </w:p>
    <w:p>
      <w:pPr>
        <w:widowControl/>
        <w:jc w:val="left"/>
        <w:rPr>
          <w:rFonts w:ascii="微软雅黑" w:hAnsi="微软雅黑" w:eastAsia="微软雅黑"/>
          <w:color w:val="auto"/>
          <w:sz w:val="24"/>
          <w:szCs w:val="24"/>
        </w:rPr>
      </w:pPr>
      <w:r>
        <w:rPr>
          <w:rFonts w:ascii="微软雅黑" w:hAnsi="微软雅黑" w:eastAsia="微软雅黑"/>
          <w:color w:val="auto"/>
          <w:sz w:val="24"/>
          <w:szCs w:val="24"/>
        </w:rPr>
        <w:br w:type="page"/>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lang w:eastAsia="zh-TW"/>
        </w:rPr>
      </w:pPr>
      <w:r>
        <w:rPr>
          <w:rFonts w:hint="eastAsia" w:ascii="微软雅黑" w:hAnsi="微软雅黑" w:eastAsia="微软雅黑"/>
          <w:b/>
          <w:color w:val="auto"/>
          <w:sz w:val="24"/>
          <w:szCs w:val="24"/>
          <w:u w:val="single"/>
        </w:rPr>
        <w:t>薪金与福利</w:t>
      </w:r>
    </w:p>
    <w:p>
      <w:pPr>
        <w:widowControl/>
        <w:spacing w:before="312" w:beforeLines="100" w:line="400" w:lineRule="exact"/>
        <w:rPr>
          <w:rFonts w:ascii="微软雅黑" w:hAnsi="微软雅黑" w:eastAsia="微软雅黑"/>
          <w:color w:val="auto"/>
          <w:sz w:val="24"/>
          <w:szCs w:val="24"/>
        </w:rPr>
      </w:pPr>
      <w:r>
        <w:rPr>
          <w:rFonts w:hint="eastAsia" w:ascii="微软雅黑" w:hAnsi="微软雅黑" w:eastAsia="微软雅黑"/>
          <w:b/>
          <w:color w:val="auto"/>
          <w:sz w:val="24"/>
          <w:szCs w:val="24"/>
          <w:u w:val="single"/>
        </w:rPr>
        <w:t>工时和工资制度</w:t>
      </w:r>
      <w:r>
        <w:rPr>
          <w:rFonts w:hint="eastAsia" w:ascii="微软雅黑" w:hAnsi="微软雅黑" w:eastAsia="微软雅黑"/>
          <w:color w:val="auto"/>
          <w:sz w:val="24"/>
          <w:szCs w:val="24"/>
        </w:rPr>
        <w:t>：企业可以根据自身情况设定员工工资和福利标准，但应符合国家和当地最低工资标准的规定。企业也可以根据自身管理需要建立员工激励制度，比如绩效奖金、员工股票期权等，以吸引优秀人才。员工工资必须至少以当地货币按月支付，发薪日可以在劳动合同上进行规定。</w:t>
      </w: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外商投资企业应遵守中国劳动法律、法规规定的工时制度，即员工每日工作时间不超过</w:t>
      </w:r>
      <w:r>
        <w:rPr>
          <w:rFonts w:ascii="微软雅黑" w:hAnsi="微软雅黑" w:eastAsia="微软雅黑"/>
          <w:color w:val="auto"/>
          <w:sz w:val="24"/>
          <w:szCs w:val="24"/>
        </w:rPr>
        <w:t>8</w:t>
      </w:r>
      <w:r>
        <w:rPr>
          <w:rFonts w:hint="eastAsia" w:ascii="微软雅黑" w:hAnsi="微软雅黑" w:eastAsia="微软雅黑"/>
          <w:color w:val="auto"/>
          <w:sz w:val="24"/>
          <w:szCs w:val="24"/>
        </w:rPr>
        <w:t>小时，平均每周工作时间不超过</w:t>
      </w:r>
      <w:r>
        <w:rPr>
          <w:rFonts w:ascii="微软雅黑" w:hAnsi="微软雅黑" w:eastAsia="微软雅黑"/>
          <w:color w:val="auto"/>
          <w:sz w:val="24"/>
          <w:szCs w:val="24"/>
        </w:rPr>
        <w:t>40</w:t>
      </w:r>
      <w:r>
        <w:rPr>
          <w:rFonts w:hint="eastAsia" w:ascii="微软雅黑" w:hAnsi="微软雅黑" w:eastAsia="微软雅黑"/>
          <w:color w:val="auto"/>
          <w:sz w:val="24"/>
          <w:szCs w:val="24"/>
        </w:rPr>
        <w:t xml:space="preserve">小时。 </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在发放员工工资时，企业有义务代扣代缴工资应纳的个人所得税，并将代扣代缴的个人所得税款在次月纳税申报期内向主管税务机关申报并缴纳。有关工资薪金个人所得税，可以参考本册子「</w:t>
      </w:r>
      <w:r>
        <w:rPr>
          <w:rFonts w:ascii="微软雅黑" w:hAnsi="微软雅黑" w:eastAsia="微软雅黑"/>
          <w:color w:val="auto"/>
          <w:sz w:val="24"/>
          <w:szCs w:val="24"/>
        </w:rPr>
        <w:t xml:space="preserve">5. </w:t>
      </w:r>
      <w:r>
        <w:rPr>
          <w:rFonts w:hint="eastAsia" w:ascii="微软雅黑" w:hAnsi="微软雅黑" w:eastAsia="微软雅黑"/>
          <w:color w:val="auto"/>
          <w:sz w:val="24"/>
          <w:szCs w:val="24"/>
        </w:rPr>
        <w:t xml:space="preserve">就业」。 </w:t>
      </w:r>
    </w:p>
    <w:p>
      <w:pPr>
        <w:spacing w:line="400" w:lineRule="exact"/>
        <w:rPr>
          <w:rFonts w:ascii="微软雅黑" w:hAnsi="微软雅黑" w:eastAsia="微软雅黑"/>
          <w:color w:val="auto"/>
          <w:sz w:val="24"/>
          <w:szCs w:val="24"/>
        </w:rPr>
      </w:pPr>
    </w:p>
    <w:p>
      <w:pPr>
        <w:spacing w:after="156" w:afterLines="50" w:line="400" w:lineRule="exact"/>
        <w:rPr>
          <w:rFonts w:ascii="微软雅黑" w:hAnsi="微软雅黑" w:eastAsia="微软雅黑"/>
          <w:color w:val="auto"/>
          <w:sz w:val="24"/>
          <w:szCs w:val="24"/>
        </w:rPr>
      </w:pPr>
      <w:r>
        <w:rPr>
          <w:rFonts w:hint="eastAsia" w:ascii="微软雅黑" w:hAnsi="微软雅黑" w:eastAsia="微软雅黑"/>
          <w:b/>
          <w:color w:val="auto"/>
          <w:sz w:val="24"/>
          <w:szCs w:val="24"/>
          <w:u w:val="single"/>
        </w:rPr>
        <w:t>社会保险</w:t>
      </w:r>
      <w:r>
        <w:rPr>
          <w:rFonts w:hint="eastAsia" w:ascii="微软雅黑" w:hAnsi="微软雅黑" w:eastAsia="微软雅黑"/>
          <w:color w:val="auto"/>
          <w:sz w:val="24"/>
          <w:szCs w:val="24"/>
        </w:rPr>
        <w:t>：依据</w:t>
      </w:r>
      <w:r>
        <w:rPr>
          <w:rFonts w:ascii="微软雅黑" w:hAnsi="微软雅黑" w:eastAsia="微软雅黑"/>
          <w:color w:val="auto"/>
          <w:sz w:val="24"/>
          <w:szCs w:val="24"/>
        </w:rPr>
        <w:t>2011</w:t>
      </w:r>
      <w:r>
        <w:rPr>
          <w:rFonts w:hint="eastAsia" w:ascii="微软雅黑" w:hAnsi="微软雅黑" w:eastAsia="微软雅黑"/>
          <w:color w:val="auto"/>
          <w:sz w:val="24"/>
          <w:szCs w:val="24"/>
        </w:rPr>
        <w:t>年</w:t>
      </w:r>
      <w:r>
        <w:rPr>
          <w:rFonts w:ascii="微软雅黑" w:hAnsi="微软雅黑" w:eastAsia="微软雅黑"/>
          <w:color w:val="auto"/>
          <w:sz w:val="24"/>
          <w:szCs w:val="24"/>
        </w:rPr>
        <w:t>7</w:t>
      </w:r>
      <w:r>
        <w:rPr>
          <w:rFonts w:hint="eastAsia" w:ascii="微软雅黑" w:hAnsi="微软雅黑" w:eastAsia="微软雅黑"/>
          <w:color w:val="auto"/>
          <w:sz w:val="24"/>
          <w:szCs w:val="24"/>
        </w:rPr>
        <w:t>月开始实施的《中华人民共和国社会保险法》，国家建立基本养老保险、基本医疗保险、工伤保险、失业保险、生育保险等社会保险制度。投资者在内地注册并经营的企业应当依法为其内地员工和外籍员工缴纳社会保险费，与员工个人缴存部分形成对该员工的社会保险福利。对于企业雇用的</w:t>
      </w: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员工，企业亦应当为其办理社会保险。在成都地区工作的</w:t>
      </w: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可在办理了就业证后，由用人单位为其办理内地的社会保险。若用人单位未为其办理内地的社会保险，</w:t>
      </w: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可向成都市人力资源和社会保障局举报投诉（投诉电话：</w:t>
      </w:r>
      <w:r>
        <w:rPr>
          <w:rFonts w:ascii="微软雅黑" w:hAnsi="微软雅黑" w:eastAsia="微软雅黑"/>
          <w:color w:val="auto"/>
          <w:sz w:val="24"/>
          <w:szCs w:val="24"/>
        </w:rPr>
        <w:t>(028)12333</w:t>
      </w:r>
      <w:r>
        <w:rPr>
          <w:rFonts w:hint="eastAsia" w:ascii="微软雅黑" w:hAnsi="微软雅黑" w:eastAsia="微软雅黑"/>
          <w:color w:val="auto"/>
          <w:sz w:val="24"/>
          <w:szCs w:val="24"/>
        </w:rPr>
        <w:t>）。</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另外根据国务院颁布的《住房公积金管理条例》，企业及其在职职工应缴存长期住房储金，即住房公积金。</w:t>
      </w:r>
    </w:p>
    <w:p>
      <w:pPr>
        <w:spacing w:after="156" w:afterLines="50" w:line="400" w:lineRule="exact"/>
        <w:rPr>
          <w:rFonts w:ascii="微软雅黑" w:hAnsi="微软雅黑" w:eastAsia="微软雅黑"/>
          <w:color w:val="auto"/>
          <w:sz w:val="24"/>
          <w:szCs w:val="24"/>
        </w:rPr>
      </w:pPr>
    </w:p>
    <w:p>
      <w:pPr>
        <w:spacing w:after="156" w:afterLines="5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企业为员工缴存社会保险费用的标准在各地有所不同。成都市各项社会保险的具体缴存情况如下：</w:t>
      </w:r>
    </w:p>
    <w:p>
      <w:pPr>
        <w:widowControl/>
        <w:jc w:val="left"/>
        <w:rPr>
          <w:rFonts w:ascii="微软雅黑" w:hAnsi="微软雅黑" w:eastAsia="微软雅黑"/>
          <w:color w:val="auto"/>
          <w:sz w:val="24"/>
          <w:szCs w:val="24"/>
        </w:rPr>
      </w:pPr>
      <w:r>
        <w:rPr>
          <w:rFonts w:ascii="微软雅黑" w:hAnsi="微软雅黑" w:eastAsia="微软雅黑"/>
          <w:color w:val="auto"/>
          <w:sz w:val="24"/>
          <w:szCs w:val="24"/>
        </w:rPr>
        <w:br w:type="page"/>
      </w:r>
    </w:p>
    <w:tbl>
      <w:tblPr>
        <w:tblStyle w:val="24"/>
        <w:tblW w:w="9574" w:type="dxa"/>
        <w:jc w:val="center"/>
        <w:tblInd w:w="0" w:type="dxa"/>
        <w:tblLayout w:type="fixed"/>
        <w:tblCellMar>
          <w:top w:w="0" w:type="dxa"/>
          <w:left w:w="108" w:type="dxa"/>
          <w:bottom w:w="0" w:type="dxa"/>
          <w:right w:w="108" w:type="dxa"/>
        </w:tblCellMar>
      </w:tblPr>
      <w:tblGrid>
        <w:gridCol w:w="1271"/>
        <w:gridCol w:w="1701"/>
        <w:gridCol w:w="1843"/>
        <w:gridCol w:w="1701"/>
        <w:gridCol w:w="1417"/>
        <w:gridCol w:w="1641"/>
      </w:tblGrid>
      <w:tr>
        <w:tblPrEx>
          <w:tblLayout w:type="fixed"/>
          <w:tblCellMar>
            <w:top w:w="0" w:type="dxa"/>
            <w:left w:w="108" w:type="dxa"/>
            <w:bottom w:w="0" w:type="dxa"/>
            <w:right w:w="108" w:type="dxa"/>
          </w:tblCellMar>
        </w:tblPrEx>
        <w:trPr>
          <w:trHeight w:val="318" w:hRule="atLeast"/>
          <w:jc w:val="center"/>
        </w:trPr>
        <w:tc>
          <w:tcPr>
            <w:tcW w:w="1271"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项目</w:t>
            </w:r>
          </w:p>
        </w:tc>
        <w:tc>
          <w:tcPr>
            <w:tcW w:w="3544" w:type="dxa"/>
            <w:gridSpan w:val="2"/>
            <w:tcBorders>
              <w:top w:val="single" w:color="auto" w:sz="4" w:space="0"/>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城镇职工</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原综保的本市户籍劳动者</w:t>
            </w:r>
          </w:p>
        </w:tc>
        <w:tc>
          <w:tcPr>
            <w:tcW w:w="3058" w:type="dxa"/>
            <w:gridSpan w:val="2"/>
            <w:tcBorders>
              <w:top w:val="single" w:color="auto" w:sz="4" w:space="0"/>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非本市户籍农民工</w:t>
            </w:r>
          </w:p>
        </w:tc>
      </w:tr>
      <w:tr>
        <w:tblPrEx>
          <w:tblLayout w:type="fixed"/>
          <w:tblCellMar>
            <w:top w:w="0" w:type="dxa"/>
            <w:left w:w="108" w:type="dxa"/>
            <w:bottom w:w="0" w:type="dxa"/>
            <w:right w:w="108" w:type="dxa"/>
          </w:tblCellMar>
        </w:tblPrEx>
        <w:trPr>
          <w:trHeight w:val="918" w:hRule="atLeast"/>
          <w:jc w:val="center"/>
        </w:trPr>
        <w:tc>
          <w:tcPr>
            <w:tcW w:w="1271" w:type="dxa"/>
            <w:vMerge w:val="continue"/>
            <w:tcBorders>
              <w:top w:val="single" w:color="auto" w:sz="4" w:space="0"/>
              <w:left w:val="single" w:color="auto" w:sz="4" w:space="0"/>
              <w:bottom w:val="single" w:color="000000" w:sz="4" w:space="0"/>
              <w:right w:val="single" w:color="auto" w:sz="4" w:space="0"/>
            </w:tcBorders>
            <w:vAlign w:val="center"/>
          </w:tcPr>
          <w:p>
            <w:pPr>
              <w:spacing w:line="400" w:lineRule="exact"/>
              <w:jc w:val="center"/>
              <w:rPr>
                <w:rFonts w:ascii="微软雅黑" w:hAnsi="微软雅黑" w:eastAsia="微软雅黑"/>
                <w:color w:val="auto"/>
                <w:sz w:val="24"/>
                <w:szCs w:val="24"/>
                <w:lang w:eastAsia="zh-TW"/>
              </w:rPr>
            </w:pPr>
          </w:p>
        </w:tc>
        <w:tc>
          <w:tcPr>
            <w:tcW w:w="1701" w:type="dxa"/>
            <w:tcBorders>
              <w:top w:val="nil"/>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ascii="微软雅黑" w:hAnsi="微软雅黑" w:eastAsia="微软雅黑"/>
                <w:color w:val="auto"/>
                <w:sz w:val="24"/>
                <w:szCs w:val="24"/>
              </w:rPr>
              <w:t>2011</w:t>
            </w:r>
            <w:r>
              <w:rPr>
                <w:rFonts w:hint="eastAsia" w:ascii="微软雅黑" w:hAnsi="微软雅黑" w:eastAsia="微软雅黑"/>
                <w:color w:val="auto"/>
                <w:sz w:val="24"/>
                <w:szCs w:val="24"/>
              </w:rPr>
              <w:t>年</w:t>
            </w:r>
            <w:r>
              <w:rPr>
                <w:rFonts w:ascii="微软雅黑" w:hAnsi="微软雅黑" w:eastAsia="微软雅黑"/>
                <w:color w:val="auto"/>
                <w:sz w:val="24"/>
                <w:szCs w:val="24"/>
              </w:rPr>
              <w:t>3</w:t>
            </w:r>
            <w:r>
              <w:rPr>
                <w:rFonts w:hint="eastAsia" w:ascii="微软雅黑" w:hAnsi="微软雅黑" w:eastAsia="微软雅黑"/>
                <w:color w:val="auto"/>
                <w:sz w:val="24"/>
                <w:szCs w:val="24"/>
              </w:rPr>
              <w:t>月</w:t>
            </w:r>
            <w:r>
              <w:rPr>
                <w:rFonts w:ascii="微软雅黑" w:hAnsi="微软雅黑" w:eastAsia="微软雅黑"/>
                <w:color w:val="auto"/>
                <w:sz w:val="24"/>
                <w:szCs w:val="24"/>
              </w:rPr>
              <w:t>31</w:t>
            </w:r>
            <w:r>
              <w:rPr>
                <w:rFonts w:hint="eastAsia" w:ascii="微软雅黑" w:hAnsi="微软雅黑" w:eastAsia="微软雅黑"/>
                <w:color w:val="auto"/>
                <w:sz w:val="24"/>
                <w:szCs w:val="24"/>
              </w:rPr>
              <w:t>日前已经参加城镇职工社会保险的劳动者</w:t>
            </w:r>
          </w:p>
        </w:tc>
        <w:tc>
          <w:tcPr>
            <w:tcW w:w="1843" w:type="dxa"/>
            <w:tcBorders>
              <w:top w:val="nil"/>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ascii="微软雅黑" w:hAnsi="微软雅黑" w:eastAsia="微软雅黑"/>
                <w:color w:val="auto"/>
                <w:sz w:val="24"/>
                <w:szCs w:val="24"/>
              </w:rPr>
              <w:t>2011</w:t>
            </w:r>
            <w:r>
              <w:rPr>
                <w:rFonts w:hint="eastAsia" w:ascii="微软雅黑" w:hAnsi="微软雅黑" w:eastAsia="微软雅黑"/>
                <w:color w:val="auto"/>
                <w:sz w:val="24"/>
                <w:szCs w:val="24"/>
              </w:rPr>
              <w:t>年</w:t>
            </w:r>
            <w:r>
              <w:rPr>
                <w:rFonts w:ascii="微软雅黑" w:hAnsi="微软雅黑" w:eastAsia="微软雅黑"/>
                <w:color w:val="auto"/>
                <w:sz w:val="24"/>
                <w:szCs w:val="24"/>
              </w:rPr>
              <w:t>4</w:t>
            </w:r>
            <w:r>
              <w:rPr>
                <w:rFonts w:hint="eastAsia" w:ascii="微软雅黑" w:hAnsi="微软雅黑" w:eastAsia="微软雅黑"/>
                <w:color w:val="auto"/>
                <w:sz w:val="24"/>
                <w:szCs w:val="24"/>
              </w:rPr>
              <w:t>月</w:t>
            </w:r>
            <w:r>
              <w:rPr>
                <w:rFonts w:ascii="微软雅黑" w:hAnsi="微软雅黑" w:eastAsia="微软雅黑"/>
                <w:color w:val="auto"/>
                <w:sz w:val="24"/>
                <w:szCs w:val="24"/>
              </w:rPr>
              <w:t>1</w:t>
            </w:r>
            <w:r>
              <w:rPr>
                <w:rFonts w:hint="eastAsia" w:ascii="微软雅黑" w:hAnsi="微软雅黑" w:eastAsia="微软雅黑"/>
                <w:color w:val="auto"/>
                <w:sz w:val="24"/>
                <w:szCs w:val="24"/>
              </w:rPr>
              <w:t>日后新招用的本市户籍劳动者和非本市户籍的城镇职工</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微软雅黑" w:hAnsi="微软雅黑" w:eastAsia="微软雅黑"/>
                <w:color w:val="auto"/>
                <w:sz w:val="24"/>
                <w:szCs w:val="24"/>
                <w:lang w:eastAsia="zh-TW"/>
              </w:rPr>
            </w:pPr>
          </w:p>
        </w:tc>
        <w:tc>
          <w:tcPr>
            <w:tcW w:w="1417" w:type="dxa"/>
            <w:tcBorders>
              <w:top w:val="nil"/>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原综保的非本市户籍农民工</w:t>
            </w:r>
          </w:p>
        </w:tc>
        <w:tc>
          <w:tcPr>
            <w:tcW w:w="1641" w:type="dxa"/>
            <w:tcBorders>
              <w:top w:val="nil"/>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ascii="微软雅黑" w:hAnsi="微软雅黑" w:eastAsia="微软雅黑"/>
                <w:color w:val="auto"/>
                <w:sz w:val="24"/>
                <w:szCs w:val="24"/>
              </w:rPr>
              <w:t>2011</w:t>
            </w:r>
            <w:r>
              <w:rPr>
                <w:rFonts w:hint="eastAsia" w:ascii="微软雅黑" w:hAnsi="微软雅黑" w:eastAsia="微软雅黑"/>
                <w:color w:val="auto"/>
                <w:sz w:val="24"/>
                <w:szCs w:val="24"/>
              </w:rPr>
              <w:t>年</w:t>
            </w:r>
            <w:r>
              <w:rPr>
                <w:rFonts w:ascii="微软雅黑" w:hAnsi="微软雅黑" w:eastAsia="微软雅黑"/>
                <w:color w:val="auto"/>
                <w:sz w:val="24"/>
                <w:szCs w:val="24"/>
              </w:rPr>
              <w:t>4</w:t>
            </w:r>
            <w:r>
              <w:rPr>
                <w:rFonts w:hint="eastAsia" w:ascii="微软雅黑" w:hAnsi="微软雅黑" w:eastAsia="微软雅黑"/>
                <w:color w:val="auto"/>
                <w:sz w:val="24"/>
                <w:szCs w:val="24"/>
              </w:rPr>
              <w:t>月</w:t>
            </w:r>
            <w:r>
              <w:rPr>
                <w:rFonts w:ascii="微软雅黑" w:hAnsi="微软雅黑" w:eastAsia="微软雅黑"/>
                <w:color w:val="auto"/>
                <w:sz w:val="24"/>
                <w:szCs w:val="24"/>
              </w:rPr>
              <w:t>1</w:t>
            </w:r>
            <w:r>
              <w:rPr>
                <w:rFonts w:hint="eastAsia" w:ascii="微软雅黑" w:hAnsi="微软雅黑" w:eastAsia="微软雅黑"/>
                <w:color w:val="auto"/>
                <w:sz w:val="24"/>
                <w:szCs w:val="24"/>
              </w:rPr>
              <w:t>日后新招用的非本市户籍农民工</w:t>
            </w:r>
          </w:p>
        </w:tc>
      </w:tr>
      <w:tr>
        <w:tblPrEx>
          <w:tblLayout w:type="fixed"/>
          <w:tblCellMar>
            <w:top w:w="0" w:type="dxa"/>
            <w:left w:w="108" w:type="dxa"/>
            <w:bottom w:w="0" w:type="dxa"/>
            <w:right w:w="108" w:type="dxa"/>
          </w:tblCellMar>
        </w:tblPrEx>
        <w:trPr>
          <w:trHeight w:val="959" w:hRule="atLeast"/>
          <w:jc w:val="center"/>
        </w:trPr>
        <w:tc>
          <w:tcPr>
            <w:tcW w:w="1271" w:type="dxa"/>
            <w:tcBorders>
              <w:top w:val="nil"/>
              <w:left w:val="single" w:color="auto" w:sz="4" w:space="0"/>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基本养老保险</w:t>
            </w:r>
          </w:p>
        </w:tc>
        <w:tc>
          <w:tcPr>
            <w:tcW w:w="3544" w:type="dxa"/>
            <w:gridSpan w:val="2"/>
            <w:tcBorders>
              <w:top w:val="single" w:color="auto" w:sz="4" w:space="0"/>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ascii="微软雅黑" w:hAnsi="微软雅黑" w:eastAsia="微软雅黑"/>
                <w:color w:val="auto"/>
                <w:sz w:val="24"/>
                <w:szCs w:val="24"/>
              </w:rPr>
              <w:t>19%</w:t>
            </w:r>
            <w:r>
              <w:rPr>
                <w:rFonts w:hint="eastAsia" w:ascii="微软雅黑" w:hAnsi="微软雅黑" w:eastAsia="微软雅黑"/>
                <w:color w:val="auto"/>
                <w:sz w:val="24"/>
                <w:szCs w:val="24"/>
              </w:rPr>
              <w:t>（有雇工的个体工商户：</w:t>
            </w:r>
            <w:r>
              <w:rPr>
                <w:rFonts w:ascii="微软雅黑" w:hAnsi="微软雅黑" w:eastAsia="微软雅黑"/>
                <w:color w:val="auto"/>
                <w:sz w:val="24"/>
                <w:szCs w:val="24"/>
              </w:rPr>
              <w:t>12%</w:t>
            </w:r>
            <w:r>
              <w:rPr>
                <w:rFonts w:hint="eastAsia" w:ascii="微软雅黑" w:hAnsi="微软雅黑" w:eastAsia="微软雅黑"/>
                <w:color w:val="auto"/>
                <w:sz w:val="24"/>
                <w:szCs w:val="24"/>
              </w:rPr>
              <w:t>）</w:t>
            </w:r>
          </w:p>
        </w:tc>
        <w:tc>
          <w:tcPr>
            <w:tcW w:w="1701" w:type="dxa"/>
            <w:tcBorders>
              <w:top w:val="nil"/>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ascii="微软雅黑" w:hAnsi="微软雅黑" w:eastAsia="微软雅黑"/>
                <w:color w:val="auto"/>
                <w:sz w:val="24"/>
                <w:szCs w:val="24"/>
              </w:rPr>
              <w:t>12%</w:t>
            </w:r>
          </w:p>
        </w:tc>
        <w:tc>
          <w:tcPr>
            <w:tcW w:w="3058" w:type="dxa"/>
            <w:gridSpan w:val="2"/>
            <w:tcBorders>
              <w:top w:val="single" w:color="auto" w:sz="4" w:space="0"/>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ascii="微软雅黑" w:hAnsi="微软雅黑" w:eastAsia="微软雅黑"/>
                <w:color w:val="auto"/>
                <w:sz w:val="24"/>
                <w:szCs w:val="24"/>
              </w:rPr>
              <w:t>12%</w:t>
            </w:r>
          </w:p>
        </w:tc>
      </w:tr>
      <w:tr>
        <w:tblPrEx>
          <w:tblLayout w:type="fixed"/>
          <w:tblCellMar>
            <w:top w:w="0" w:type="dxa"/>
            <w:left w:w="108" w:type="dxa"/>
            <w:bottom w:w="0" w:type="dxa"/>
            <w:right w:w="108" w:type="dxa"/>
          </w:tblCellMar>
        </w:tblPrEx>
        <w:trPr>
          <w:trHeight w:val="595" w:hRule="atLeast"/>
          <w:jc w:val="center"/>
        </w:trPr>
        <w:tc>
          <w:tcPr>
            <w:tcW w:w="1271" w:type="dxa"/>
            <w:tcBorders>
              <w:top w:val="nil"/>
              <w:left w:val="single" w:color="auto" w:sz="4" w:space="0"/>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基本医疗保险</w:t>
            </w:r>
          </w:p>
        </w:tc>
        <w:tc>
          <w:tcPr>
            <w:tcW w:w="3544" w:type="dxa"/>
            <w:gridSpan w:val="2"/>
            <w:tcBorders>
              <w:top w:val="single" w:color="auto" w:sz="4" w:space="0"/>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ascii="微软雅黑" w:hAnsi="微软雅黑" w:eastAsia="微软雅黑"/>
                <w:color w:val="auto"/>
                <w:sz w:val="24"/>
                <w:szCs w:val="24"/>
              </w:rPr>
              <w:t>6.5%</w:t>
            </w:r>
          </w:p>
        </w:tc>
        <w:tc>
          <w:tcPr>
            <w:tcW w:w="1701" w:type="dxa"/>
            <w:tcBorders>
              <w:top w:val="nil"/>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ascii="微软雅黑" w:hAnsi="微软雅黑" w:eastAsia="微软雅黑"/>
                <w:color w:val="auto"/>
                <w:sz w:val="24"/>
                <w:szCs w:val="24"/>
              </w:rPr>
              <w:t>6.5%</w:t>
            </w:r>
          </w:p>
        </w:tc>
        <w:tc>
          <w:tcPr>
            <w:tcW w:w="3058" w:type="dxa"/>
            <w:gridSpan w:val="2"/>
            <w:tcBorders>
              <w:top w:val="single" w:color="auto" w:sz="4" w:space="0"/>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ascii="微软雅黑" w:hAnsi="微软雅黑" w:eastAsia="微软雅黑"/>
                <w:color w:val="auto"/>
                <w:sz w:val="24"/>
                <w:szCs w:val="24"/>
              </w:rPr>
              <w:t>2.5%</w:t>
            </w:r>
          </w:p>
        </w:tc>
      </w:tr>
      <w:tr>
        <w:tblPrEx>
          <w:tblLayout w:type="fixed"/>
          <w:tblCellMar>
            <w:top w:w="0" w:type="dxa"/>
            <w:left w:w="108" w:type="dxa"/>
            <w:bottom w:w="0" w:type="dxa"/>
            <w:right w:w="108" w:type="dxa"/>
          </w:tblCellMar>
        </w:tblPrEx>
        <w:trPr>
          <w:trHeight w:val="405"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失业保险</w:t>
            </w:r>
          </w:p>
        </w:tc>
        <w:tc>
          <w:tcPr>
            <w:tcW w:w="3544" w:type="dxa"/>
            <w:gridSpan w:val="2"/>
            <w:tcBorders>
              <w:top w:val="single" w:color="auto" w:sz="4" w:space="0"/>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ascii="微软雅黑" w:hAnsi="微软雅黑" w:eastAsia="微软雅黑"/>
                <w:color w:val="auto"/>
                <w:sz w:val="24"/>
                <w:szCs w:val="24"/>
              </w:rPr>
              <w:t>0.6%</w:t>
            </w:r>
          </w:p>
        </w:tc>
        <w:tc>
          <w:tcPr>
            <w:tcW w:w="1701" w:type="dxa"/>
            <w:tcBorders>
              <w:top w:val="single" w:color="auto" w:sz="4" w:space="0"/>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ascii="微软雅黑" w:hAnsi="微软雅黑" w:eastAsia="微软雅黑"/>
                <w:color w:val="auto"/>
                <w:sz w:val="24"/>
                <w:szCs w:val="24"/>
              </w:rPr>
              <w:t>0.6%</w:t>
            </w:r>
          </w:p>
        </w:tc>
        <w:tc>
          <w:tcPr>
            <w:tcW w:w="3058" w:type="dxa"/>
            <w:gridSpan w:val="2"/>
            <w:tcBorders>
              <w:top w:val="single" w:color="auto" w:sz="4" w:space="0"/>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ascii="微软雅黑" w:hAnsi="微软雅黑" w:eastAsia="微软雅黑"/>
                <w:color w:val="auto"/>
                <w:sz w:val="24"/>
                <w:szCs w:val="24"/>
              </w:rPr>
              <w:t>0.6%</w:t>
            </w:r>
          </w:p>
        </w:tc>
      </w:tr>
      <w:tr>
        <w:tblPrEx>
          <w:tblLayout w:type="fixed"/>
          <w:tblCellMar>
            <w:top w:w="0" w:type="dxa"/>
            <w:left w:w="108" w:type="dxa"/>
            <w:bottom w:w="0" w:type="dxa"/>
            <w:right w:w="108" w:type="dxa"/>
          </w:tblCellMar>
        </w:tblPrEx>
        <w:trPr>
          <w:trHeight w:val="405"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生育保险</w:t>
            </w:r>
          </w:p>
        </w:tc>
        <w:tc>
          <w:tcPr>
            <w:tcW w:w="3544" w:type="dxa"/>
            <w:gridSpan w:val="2"/>
            <w:tcBorders>
              <w:top w:val="single" w:color="auto" w:sz="4" w:space="0"/>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ascii="微软雅黑" w:hAnsi="微软雅黑" w:eastAsia="微软雅黑"/>
                <w:color w:val="auto"/>
                <w:sz w:val="24"/>
                <w:szCs w:val="24"/>
              </w:rPr>
              <w:t>0.5%</w:t>
            </w:r>
          </w:p>
        </w:tc>
        <w:tc>
          <w:tcPr>
            <w:tcW w:w="1701" w:type="dxa"/>
            <w:tcBorders>
              <w:top w:val="single" w:color="auto" w:sz="4" w:space="0"/>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ascii="微软雅黑" w:hAnsi="微软雅黑" w:eastAsia="微软雅黑"/>
                <w:color w:val="auto"/>
                <w:sz w:val="24"/>
                <w:szCs w:val="24"/>
              </w:rPr>
              <w:t>0.5%</w:t>
            </w:r>
          </w:p>
        </w:tc>
        <w:tc>
          <w:tcPr>
            <w:tcW w:w="3058" w:type="dxa"/>
            <w:gridSpan w:val="2"/>
            <w:tcBorders>
              <w:top w:val="single" w:color="auto" w:sz="4" w:space="0"/>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ascii="微软雅黑" w:hAnsi="微软雅黑" w:eastAsia="微软雅黑"/>
                <w:color w:val="auto"/>
                <w:sz w:val="24"/>
                <w:szCs w:val="24"/>
              </w:rPr>
              <w:t>0.5%</w:t>
            </w:r>
          </w:p>
        </w:tc>
      </w:tr>
      <w:tr>
        <w:tblPrEx>
          <w:tblLayout w:type="fixed"/>
          <w:tblCellMar>
            <w:top w:w="0" w:type="dxa"/>
            <w:left w:w="108" w:type="dxa"/>
            <w:bottom w:w="0" w:type="dxa"/>
            <w:right w:w="108" w:type="dxa"/>
          </w:tblCellMar>
        </w:tblPrEx>
        <w:trPr>
          <w:trHeight w:val="454"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工伤保险</w:t>
            </w:r>
          </w:p>
        </w:tc>
        <w:tc>
          <w:tcPr>
            <w:tcW w:w="8303" w:type="dxa"/>
            <w:gridSpan w:val="5"/>
            <w:tcBorders>
              <w:top w:val="single" w:color="auto" w:sz="4" w:space="0"/>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根据行业确定基准费率，实际费率为（基准费率＋浮动费率）×</w:t>
            </w:r>
            <w:r>
              <w:rPr>
                <w:rFonts w:ascii="微软雅黑" w:hAnsi="微软雅黑" w:eastAsia="微软雅黑"/>
                <w:color w:val="auto"/>
                <w:sz w:val="24"/>
                <w:szCs w:val="24"/>
              </w:rPr>
              <w:t>0.7</w:t>
            </w:r>
          </w:p>
        </w:tc>
      </w:tr>
      <w:tr>
        <w:tblPrEx>
          <w:tblLayout w:type="fixed"/>
          <w:tblCellMar>
            <w:top w:w="0" w:type="dxa"/>
            <w:left w:w="108" w:type="dxa"/>
            <w:bottom w:w="0" w:type="dxa"/>
            <w:right w:w="108" w:type="dxa"/>
          </w:tblCellMar>
        </w:tblPrEx>
        <w:trPr>
          <w:trHeight w:val="900"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大病医疗互助补充保险</w:t>
            </w:r>
          </w:p>
        </w:tc>
        <w:tc>
          <w:tcPr>
            <w:tcW w:w="3544" w:type="dxa"/>
            <w:gridSpan w:val="2"/>
            <w:tcBorders>
              <w:top w:val="single" w:color="auto" w:sz="4" w:space="0"/>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ascii="微软雅黑" w:hAnsi="微软雅黑" w:eastAsia="微软雅黑"/>
                <w:color w:val="auto"/>
                <w:sz w:val="24"/>
                <w:szCs w:val="24"/>
              </w:rPr>
              <w:t>1%</w:t>
            </w:r>
          </w:p>
        </w:tc>
        <w:tc>
          <w:tcPr>
            <w:tcW w:w="1701" w:type="dxa"/>
            <w:tcBorders>
              <w:top w:val="single" w:color="auto" w:sz="4" w:space="0"/>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ascii="微软雅黑" w:hAnsi="微软雅黑" w:eastAsia="微软雅黑"/>
                <w:color w:val="auto"/>
                <w:sz w:val="24"/>
                <w:szCs w:val="24"/>
              </w:rPr>
              <w:t>1%</w:t>
            </w:r>
          </w:p>
        </w:tc>
        <w:tc>
          <w:tcPr>
            <w:tcW w:w="3058" w:type="dxa"/>
            <w:gridSpan w:val="2"/>
            <w:tcBorders>
              <w:top w:val="single" w:color="auto" w:sz="4" w:space="0"/>
              <w:left w:val="nil"/>
              <w:bottom w:val="single" w:color="auto" w:sz="4" w:space="0"/>
              <w:right w:val="single" w:color="auto" w:sz="4" w:space="0"/>
            </w:tcBorders>
            <w:shd w:val="clear" w:color="auto" w:fill="auto"/>
            <w:vAlign w:val="center"/>
          </w:tcPr>
          <w:p>
            <w:pPr>
              <w:spacing w:line="400" w:lineRule="exact"/>
              <w:jc w:val="center"/>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个人自愿参加</w:t>
            </w:r>
          </w:p>
        </w:tc>
      </w:tr>
    </w:tbl>
    <w:p>
      <w:pPr>
        <w:spacing w:before="156" w:beforeLines="5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欲了解社会保险的详情，请咨询成都市人力资源和社会保障局（电话：</w:t>
      </w:r>
      <w:r>
        <w:rPr>
          <w:rFonts w:ascii="微软雅黑" w:hAnsi="微软雅黑" w:eastAsia="微软雅黑"/>
          <w:color w:val="auto"/>
          <w:sz w:val="24"/>
          <w:szCs w:val="24"/>
        </w:rPr>
        <w:t>(028)12333</w:t>
      </w:r>
      <w:r>
        <w:rPr>
          <w:rFonts w:hint="eastAsia" w:ascii="微软雅黑" w:hAnsi="微软雅黑" w:eastAsia="微软雅黑"/>
          <w:color w:val="auto"/>
          <w:sz w:val="24"/>
          <w:szCs w:val="24"/>
        </w:rPr>
        <w:t>、</w:t>
      </w:r>
      <w:r>
        <w:rPr>
          <w:rFonts w:ascii="微软雅黑" w:hAnsi="微软雅黑" w:eastAsia="微软雅黑"/>
          <w:color w:val="auto"/>
          <w:sz w:val="24"/>
          <w:szCs w:val="24"/>
        </w:rPr>
        <w:t>(028)61888166</w:t>
      </w: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"http://www.cdhrss.gov.cn" </w:instrText>
      </w:r>
      <w:r>
        <w:rPr>
          <w:color w:val="auto"/>
        </w:rPr>
        <w:fldChar w:fldCharType="separate"/>
      </w:r>
      <w:r>
        <w:rPr>
          <w:rFonts w:ascii="微软雅黑" w:hAnsi="微软雅黑" w:eastAsia="微软雅黑"/>
          <w:color w:val="auto"/>
          <w:sz w:val="24"/>
          <w:szCs w:val="24"/>
        </w:rPr>
        <w:t>http://www.cdhrss.gov.cn</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b/>
          <w:color w:val="auto"/>
          <w:sz w:val="24"/>
          <w:szCs w:val="24"/>
          <w:u w:val="single"/>
        </w:rPr>
        <w:t>女职工产假制度：</w:t>
      </w:r>
      <w:r>
        <w:rPr>
          <w:rFonts w:hint="eastAsia" w:ascii="微软雅黑" w:hAnsi="微软雅黑" w:eastAsia="微软雅黑"/>
          <w:color w:val="auto"/>
          <w:sz w:val="24"/>
          <w:szCs w:val="24"/>
        </w:rPr>
        <w:t>根据国务院</w:t>
      </w:r>
      <w:r>
        <w:rPr>
          <w:rFonts w:ascii="微软雅黑" w:hAnsi="微软雅黑" w:eastAsia="微软雅黑"/>
          <w:color w:val="auto"/>
          <w:sz w:val="24"/>
          <w:szCs w:val="24"/>
        </w:rPr>
        <w:t>2016</w:t>
      </w:r>
      <w:r>
        <w:rPr>
          <w:rFonts w:hint="eastAsia" w:ascii="微软雅黑" w:hAnsi="微软雅黑" w:eastAsia="微软雅黑"/>
          <w:color w:val="auto"/>
          <w:sz w:val="24"/>
          <w:szCs w:val="24"/>
        </w:rPr>
        <w:t>年</w:t>
      </w:r>
      <w:r>
        <w:rPr>
          <w:rFonts w:ascii="微软雅黑" w:hAnsi="微软雅黑" w:eastAsia="微软雅黑"/>
          <w:color w:val="auto"/>
          <w:sz w:val="24"/>
          <w:szCs w:val="24"/>
        </w:rPr>
        <w:t>1</w:t>
      </w:r>
      <w:r>
        <w:rPr>
          <w:rFonts w:hint="eastAsia" w:ascii="微软雅黑" w:hAnsi="微软雅黑" w:eastAsia="微软雅黑"/>
          <w:color w:val="auto"/>
          <w:sz w:val="24"/>
          <w:szCs w:val="24"/>
        </w:rPr>
        <w:t>月</w:t>
      </w:r>
      <w:r>
        <w:rPr>
          <w:rFonts w:ascii="微软雅黑" w:hAnsi="微软雅黑" w:eastAsia="微软雅黑"/>
          <w:color w:val="auto"/>
          <w:sz w:val="24"/>
          <w:szCs w:val="24"/>
        </w:rPr>
        <w:t>2</w:t>
      </w:r>
      <w:r>
        <w:rPr>
          <w:rFonts w:hint="eastAsia" w:ascii="微软雅黑" w:hAnsi="微软雅黑" w:eastAsia="微软雅黑"/>
          <w:color w:val="auto"/>
          <w:sz w:val="24"/>
          <w:szCs w:val="24"/>
        </w:rPr>
        <w:t>日下午，四川省第十二届人大常委会第二十一次会议审议通过《四川省人口与计划生育条例》（修正案），明确四川省实施「全面两孩」政策的配套措施。根据最新修订条例，四川删除原来的晚婚晚育奖励规定。同时，符合法律、法规规定生育子女的夫妻，除法律、法规规定的产假外，延长女方生育假</w:t>
      </w:r>
      <w:r>
        <w:rPr>
          <w:rFonts w:ascii="微软雅黑" w:hAnsi="微软雅黑" w:eastAsia="微软雅黑"/>
          <w:color w:val="auto"/>
          <w:sz w:val="24"/>
          <w:szCs w:val="24"/>
        </w:rPr>
        <w:t>60</w:t>
      </w:r>
      <w:r>
        <w:rPr>
          <w:rFonts w:hint="eastAsia" w:ascii="微软雅黑" w:hAnsi="微软雅黑" w:eastAsia="微软雅黑"/>
          <w:color w:val="auto"/>
          <w:sz w:val="24"/>
          <w:szCs w:val="24"/>
        </w:rPr>
        <w:t>天，可享受</w:t>
      </w:r>
      <w:r>
        <w:rPr>
          <w:rFonts w:ascii="微软雅黑" w:hAnsi="微软雅黑" w:eastAsia="微软雅黑"/>
          <w:color w:val="auto"/>
          <w:sz w:val="24"/>
          <w:szCs w:val="24"/>
        </w:rPr>
        <w:t>158</w:t>
      </w:r>
      <w:r>
        <w:rPr>
          <w:rFonts w:hint="eastAsia" w:ascii="微软雅黑" w:hAnsi="微软雅黑" w:eastAsia="微软雅黑"/>
          <w:color w:val="auto"/>
          <w:sz w:val="24"/>
          <w:szCs w:val="24"/>
        </w:rPr>
        <w:t>天产假，给予男方护理假</w:t>
      </w:r>
      <w:r>
        <w:rPr>
          <w:rFonts w:ascii="微软雅黑" w:hAnsi="微软雅黑" w:eastAsia="微软雅黑"/>
          <w:color w:val="auto"/>
          <w:sz w:val="24"/>
          <w:szCs w:val="24"/>
        </w:rPr>
        <w:t>20</w:t>
      </w:r>
      <w:r>
        <w:rPr>
          <w:rFonts w:hint="eastAsia" w:ascii="微软雅黑" w:hAnsi="微软雅黑" w:eastAsia="微软雅黑"/>
          <w:color w:val="auto"/>
          <w:sz w:val="24"/>
          <w:szCs w:val="24"/>
        </w:rPr>
        <w:t>天。生育假、护理假视为出勤，工资福利待遇不变。</w:t>
      </w:r>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会计制度和年度报告</w:t>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lang w:eastAsia="zh-TW"/>
        </w:rPr>
      </w:pPr>
      <w:r>
        <w:rPr>
          <w:rFonts w:hint="eastAsia" w:ascii="微软雅黑" w:hAnsi="微软雅黑" w:eastAsia="微软雅黑"/>
          <w:b/>
          <w:color w:val="auto"/>
          <w:sz w:val="24"/>
          <w:szCs w:val="24"/>
          <w:u w:val="single"/>
        </w:rPr>
        <w:t>会计体系和会计准则</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国务院财政部于</w:t>
      </w:r>
      <w:r>
        <w:rPr>
          <w:rFonts w:ascii="微软雅黑" w:hAnsi="微软雅黑" w:eastAsia="微软雅黑"/>
          <w:color w:val="auto"/>
          <w:sz w:val="24"/>
          <w:szCs w:val="24"/>
        </w:rPr>
        <w:t>2006</w:t>
      </w:r>
      <w:r>
        <w:rPr>
          <w:rFonts w:hint="eastAsia" w:ascii="微软雅黑" w:hAnsi="微软雅黑" w:eastAsia="微软雅黑"/>
          <w:color w:val="auto"/>
          <w:sz w:val="24"/>
          <w:szCs w:val="24"/>
        </w:rPr>
        <w:t>年公布并实施了新《企业会计准则》，于</w:t>
      </w:r>
      <w:r>
        <w:rPr>
          <w:rFonts w:ascii="微软雅黑" w:hAnsi="微软雅黑" w:eastAsia="微软雅黑"/>
          <w:color w:val="auto"/>
          <w:sz w:val="24"/>
          <w:szCs w:val="24"/>
        </w:rPr>
        <w:t>2007</w:t>
      </w:r>
      <w:r>
        <w:rPr>
          <w:rFonts w:hint="eastAsia" w:ascii="微软雅黑" w:hAnsi="微软雅黑" w:eastAsia="微软雅黑"/>
          <w:color w:val="auto"/>
          <w:sz w:val="24"/>
          <w:szCs w:val="24"/>
        </w:rPr>
        <w:t>年</w:t>
      </w:r>
      <w:r>
        <w:rPr>
          <w:rFonts w:ascii="微软雅黑" w:hAnsi="微软雅黑" w:eastAsia="微软雅黑"/>
          <w:color w:val="auto"/>
          <w:sz w:val="24"/>
          <w:szCs w:val="24"/>
        </w:rPr>
        <w:t>1</w:t>
      </w:r>
      <w:r>
        <w:rPr>
          <w:rFonts w:hint="eastAsia" w:ascii="微软雅黑" w:hAnsi="微软雅黑" w:eastAsia="微软雅黑"/>
          <w:color w:val="auto"/>
          <w:sz w:val="24"/>
          <w:szCs w:val="24"/>
        </w:rPr>
        <w:t>月</w:t>
      </w:r>
      <w:r>
        <w:rPr>
          <w:rFonts w:ascii="微软雅黑" w:hAnsi="微软雅黑" w:eastAsia="微软雅黑"/>
          <w:color w:val="auto"/>
          <w:sz w:val="24"/>
          <w:szCs w:val="24"/>
        </w:rPr>
        <w:t>1</w:t>
      </w:r>
      <w:r>
        <w:rPr>
          <w:rFonts w:hint="eastAsia" w:ascii="微软雅黑" w:hAnsi="微软雅黑" w:eastAsia="微软雅黑"/>
          <w:color w:val="auto"/>
          <w:sz w:val="24"/>
          <w:szCs w:val="24"/>
        </w:rPr>
        <w:t>日开始实施。外商投资企业一般应按照《企业会计准则》编制其财务报表。根据《企业会计准则》的基本准则、《会计法》（</w:t>
      </w:r>
      <w:r>
        <w:rPr>
          <w:rFonts w:ascii="微软雅黑" w:hAnsi="微软雅黑" w:eastAsia="微软雅黑"/>
          <w:color w:val="auto"/>
          <w:sz w:val="24"/>
          <w:szCs w:val="24"/>
        </w:rPr>
        <w:t>1999</w:t>
      </w:r>
      <w:r>
        <w:rPr>
          <w:rFonts w:hint="eastAsia" w:ascii="微软雅黑" w:hAnsi="微软雅黑" w:eastAsia="微软雅黑"/>
          <w:color w:val="auto"/>
          <w:sz w:val="24"/>
          <w:szCs w:val="24"/>
        </w:rPr>
        <w:t>年修订，</w:t>
      </w:r>
      <w:r>
        <w:rPr>
          <w:rFonts w:ascii="微软雅黑" w:hAnsi="微软雅黑" w:eastAsia="微软雅黑"/>
          <w:color w:val="auto"/>
          <w:sz w:val="24"/>
          <w:szCs w:val="24"/>
        </w:rPr>
        <w:t>2000</w:t>
      </w:r>
      <w:r>
        <w:rPr>
          <w:rFonts w:hint="eastAsia" w:ascii="微软雅黑" w:hAnsi="微软雅黑" w:eastAsia="微软雅黑"/>
          <w:color w:val="auto"/>
          <w:sz w:val="24"/>
          <w:szCs w:val="24"/>
        </w:rPr>
        <w:t>年</w:t>
      </w:r>
      <w:r>
        <w:rPr>
          <w:rFonts w:ascii="微软雅黑" w:hAnsi="微软雅黑" w:eastAsia="微软雅黑"/>
          <w:color w:val="auto"/>
          <w:sz w:val="24"/>
          <w:szCs w:val="24"/>
        </w:rPr>
        <w:t>7</w:t>
      </w:r>
      <w:r>
        <w:rPr>
          <w:rFonts w:hint="eastAsia" w:ascii="微软雅黑" w:hAnsi="微软雅黑" w:eastAsia="微软雅黑"/>
          <w:color w:val="auto"/>
          <w:sz w:val="24"/>
          <w:szCs w:val="24"/>
        </w:rPr>
        <w:t xml:space="preserve">月生效）和外商投资企业有关法规，外商投资企业的会计制度应符合以下要求： </w:t>
      </w:r>
    </w:p>
    <w:p>
      <w:pPr>
        <w:pStyle w:val="28"/>
        <w:numPr>
          <w:ilvl w:val="0"/>
          <w:numId w:val="15"/>
        </w:numPr>
        <w:spacing w:before="156" w:beforeLines="50"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会计年度应为自公历</w:t>
      </w:r>
      <w:r>
        <w:rPr>
          <w:rFonts w:ascii="微软雅黑" w:hAnsi="微软雅黑" w:eastAsia="微软雅黑"/>
          <w:color w:val="auto"/>
          <w:sz w:val="24"/>
          <w:szCs w:val="24"/>
        </w:rPr>
        <w:t>1</w:t>
      </w:r>
      <w:r>
        <w:rPr>
          <w:rFonts w:hint="eastAsia" w:ascii="微软雅黑" w:hAnsi="微软雅黑" w:eastAsia="微软雅黑"/>
          <w:color w:val="auto"/>
          <w:sz w:val="24"/>
          <w:szCs w:val="24"/>
        </w:rPr>
        <w:t>月</w:t>
      </w:r>
      <w:r>
        <w:rPr>
          <w:rFonts w:ascii="微软雅黑" w:hAnsi="微软雅黑" w:eastAsia="微软雅黑"/>
          <w:color w:val="auto"/>
          <w:sz w:val="24"/>
          <w:szCs w:val="24"/>
        </w:rPr>
        <w:t>1</w:t>
      </w:r>
      <w:r>
        <w:rPr>
          <w:rFonts w:hint="eastAsia" w:ascii="微软雅黑" w:hAnsi="微软雅黑" w:eastAsia="微软雅黑"/>
          <w:color w:val="auto"/>
          <w:sz w:val="24"/>
          <w:szCs w:val="24"/>
        </w:rPr>
        <w:t>日起至</w:t>
      </w:r>
      <w:r>
        <w:rPr>
          <w:rFonts w:ascii="微软雅黑" w:hAnsi="微软雅黑" w:eastAsia="微软雅黑"/>
          <w:color w:val="auto"/>
          <w:sz w:val="24"/>
          <w:szCs w:val="24"/>
        </w:rPr>
        <w:t>12</w:t>
      </w:r>
      <w:r>
        <w:rPr>
          <w:rFonts w:hint="eastAsia" w:ascii="微软雅黑" w:hAnsi="微软雅黑" w:eastAsia="微软雅黑"/>
          <w:color w:val="auto"/>
          <w:sz w:val="24"/>
          <w:szCs w:val="24"/>
        </w:rPr>
        <w:t>月</w:t>
      </w:r>
      <w:r>
        <w:rPr>
          <w:rFonts w:ascii="微软雅黑" w:hAnsi="微软雅黑" w:eastAsia="微软雅黑"/>
          <w:color w:val="auto"/>
          <w:sz w:val="24"/>
          <w:szCs w:val="24"/>
        </w:rPr>
        <w:t>31</w:t>
      </w:r>
      <w:r>
        <w:rPr>
          <w:rFonts w:hint="eastAsia" w:ascii="微软雅黑" w:hAnsi="微软雅黑" w:eastAsia="微软雅黑"/>
          <w:color w:val="auto"/>
          <w:sz w:val="24"/>
          <w:szCs w:val="24"/>
        </w:rPr>
        <w:t>日止。</w:t>
      </w:r>
    </w:p>
    <w:p>
      <w:pPr>
        <w:pStyle w:val="28"/>
        <w:numPr>
          <w:ilvl w:val="0"/>
          <w:numId w:val="15"/>
        </w:numPr>
        <w:spacing w:before="46" w:beforeLines="1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会计核算以人民币为记账本位币。业务收支以人民币以外的货币为主的单位，可以选定其中一种货币作为记账本位币，但是编报的财务会计报告应当折算为人民币。</w:t>
      </w:r>
    </w:p>
    <w:p>
      <w:pPr>
        <w:pStyle w:val="28"/>
        <w:numPr>
          <w:ilvl w:val="0"/>
          <w:numId w:val="15"/>
        </w:numPr>
        <w:spacing w:before="46" w:beforeLines="1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企业必须根据实际发生的经济业务事项进行会计核算，填制会计凭证，登记会计账簿，编制财务会计报告。应当编制财务会计报告，包括资产负债表、利润表、现金流量表及报表附注等。</w:t>
      </w:r>
    </w:p>
    <w:p>
      <w:pPr>
        <w:pStyle w:val="28"/>
        <w:numPr>
          <w:ilvl w:val="0"/>
          <w:numId w:val="15"/>
        </w:numPr>
        <w:spacing w:before="46" w:beforeLines="1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企业应当以权责发生制为基础进行会计确认、计量和报告。</w:t>
      </w:r>
    </w:p>
    <w:p>
      <w:pPr>
        <w:pStyle w:val="28"/>
        <w:numPr>
          <w:ilvl w:val="0"/>
          <w:numId w:val="15"/>
        </w:numPr>
        <w:spacing w:before="46" w:beforeLines="1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企业应从税后的利润中提取储备基金和职工奖励、福利基金及企业发展基金。储备基金的提取比例不得低于税后利润的</w:t>
      </w:r>
      <w:r>
        <w:rPr>
          <w:rFonts w:ascii="微软雅黑" w:hAnsi="微软雅黑" w:eastAsia="微软雅黑"/>
          <w:color w:val="auto"/>
          <w:sz w:val="24"/>
          <w:szCs w:val="24"/>
        </w:rPr>
        <w:t>10%</w:t>
      </w:r>
      <w:r>
        <w:rPr>
          <w:rFonts w:hint="eastAsia" w:ascii="微软雅黑" w:hAnsi="微软雅黑" w:eastAsia="微软雅黑"/>
          <w:color w:val="auto"/>
          <w:sz w:val="24"/>
          <w:szCs w:val="24"/>
        </w:rPr>
        <w:t>，当累计提取金额达到注册资本的</w:t>
      </w:r>
      <w:r>
        <w:rPr>
          <w:rFonts w:ascii="微软雅黑" w:hAnsi="微软雅黑" w:eastAsia="微软雅黑"/>
          <w:color w:val="auto"/>
          <w:sz w:val="24"/>
          <w:szCs w:val="24"/>
        </w:rPr>
        <w:t>50%</w:t>
      </w:r>
      <w:r>
        <w:rPr>
          <w:rFonts w:hint="eastAsia" w:ascii="微软雅黑" w:hAnsi="微软雅黑" w:eastAsia="微软雅黑"/>
          <w:color w:val="auto"/>
          <w:sz w:val="24"/>
          <w:szCs w:val="24"/>
        </w:rPr>
        <w:t xml:space="preserve">时，可以不再提取。职工奖励及福利基金的提取比例由外资企业自行确定。对于中外合资经营企业，储备基金和职工奖励、福利基金及企业发展基金的提取比例由董事会确定。 </w:t>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lang w:eastAsia="zh-TW"/>
        </w:rPr>
      </w:pPr>
      <w:r>
        <w:rPr>
          <w:rFonts w:hint="eastAsia" w:ascii="微软雅黑" w:hAnsi="微软雅黑" w:eastAsia="微软雅黑"/>
          <w:b/>
          <w:color w:val="auto"/>
          <w:sz w:val="24"/>
          <w:szCs w:val="24"/>
          <w:u w:val="single"/>
        </w:rPr>
        <w:t>法定审计要求</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 xml:space="preserve">依据外商投资和会计有关法律法规，外商投资企业和常驻代表机构须进行年度审计，且应当聘请中国的注册会计师（包括中外合资的注册会计师事务所）对其财务报表进行验证并出具报告。 </w:t>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lang w:eastAsia="zh-TW"/>
        </w:rPr>
      </w:pPr>
      <w:r>
        <w:rPr>
          <w:rFonts w:hint="eastAsia" w:ascii="微软雅黑" w:hAnsi="微软雅黑" w:eastAsia="微软雅黑"/>
          <w:b/>
          <w:color w:val="auto"/>
          <w:sz w:val="24"/>
          <w:szCs w:val="24"/>
          <w:u w:val="single"/>
        </w:rPr>
        <w:t>年度报告</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根据《关于印发注册资本登记制度改革方案的通知》（国发</w:t>
      </w:r>
      <w:r>
        <w:rPr>
          <w:rFonts w:ascii="微软雅黑" w:hAnsi="微软雅黑" w:eastAsia="微软雅黑"/>
          <w:color w:val="auto"/>
          <w:sz w:val="24"/>
          <w:szCs w:val="24"/>
        </w:rPr>
        <w:t>[2014]7</w:t>
      </w:r>
      <w:r>
        <w:rPr>
          <w:rFonts w:hint="eastAsia" w:ascii="微软雅黑" w:hAnsi="微软雅黑" w:eastAsia="微软雅黑"/>
          <w:color w:val="auto"/>
          <w:sz w:val="24"/>
          <w:szCs w:val="24"/>
        </w:rPr>
        <w:t xml:space="preserve">号），内地对企业实施年度报告公示制度。企业应当按年度，通过市场主体信用信息公示系统向工商行政管理机关报送年度报告，供任何企业和个人查询。 </w:t>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lang w:eastAsia="zh-TW"/>
        </w:rPr>
      </w:pPr>
      <w:r>
        <w:rPr>
          <w:rFonts w:hint="eastAsia" w:ascii="微软雅黑" w:hAnsi="微软雅黑" w:eastAsia="微软雅黑"/>
          <w:b/>
          <w:color w:val="auto"/>
          <w:sz w:val="24"/>
          <w:szCs w:val="24"/>
          <w:u w:val="single"/>
        </w:rPr>
        <w:t>外汇管理</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目前，内地对于外汇业务仍采取管制制度，由国家外汇管理局和地方各级外汇管理部门负责监督检查外汇收支的真实性、合法性。外商投资企业某些外汇业务，需经外汇管理部门批准后方可通过银行办理。针对不同的业务类型，外汇管理部门将外商投资企业外汇业务分为经常项目管理和资本项目管理。</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自</w:t>
      </w:r>
      <w:r>
        <w:rPr>
          <w:rFonts w:ascii="微软雅黑" w:hAnsi="微软雅黑" w:eastAsia="微软雅黑"/>
          <w:color w:val="auto"/>
          <w:sz w:val="24"/>
          <w:szCs w:val="24"/>
        </w:rPr>
        <w:t>2015</w:t>
      </w:r>
      <w:r>
        <w:rPr>
          <w:rFonts w:hint="eastAsia" w:ascii="微软雅黑" w:hAnsi="微软雅黑" w:eastAsia="微软雅黑"/>
          <w:color w:val="auto"/>
          <w:sz w:val="24"/>
          <w:szCs w:val="24"/>
        </w:rPr>
        <w:t>年</w:t>
      </w:r>
      <w:r>
        <w:rPr>
          <w:rFonts w:ascii="微软雅黑" w:hAnsi="微软雅黑" w:eastAsia="微软雅黑"/>
          <w:color w:val="auto"/>
          <w:sz w:val="24"/>
          <w:szCs w:val="24"/>
        </w:rPr>
        <w:t>6</w:t>
      </w:r>
      <w:r>
        <w:rPr>
          <w:rFonts w:hint="eastAsia" w:ascii="微软雅黑" w:hAnsi="微软雅黑" w:eastAsia="微软雅黑"/>
          <w:color w:val="auto"/>
          <w:sz w:val="24"/>
          <w:szCs w:val="24"/>
        </w:rPr>
        <w:t>月</w:t>
      </w:r>
      <w:r>
        <w:rPr>
          <w:rFonts w:ascii="微软雅黑" w:hAnsi="微软雅黑" w:eastAsia="微软雅黑"/>
          <w:color w:val="auto"/>
          <w:sz w:val="24"/>
          <w:szCs w:val="24"/>
        </w:rPr>
        <w:t>1</w:t>
      </w:r>
      <w:r>
        <w:rPr>
          <w:rFonts w:hint="eastAsia" w:ascii="微软雅黑" w:hAnsi="微软雅黑" w:eastAsia="微软雅黑"/>
          <w:color w:val="auto"/>
          <w:sz w:val="24"/>
          <w:szCs w:val="24"/>
        </w:rPr>
        <w:t>日起，国家外汇管理局将取消境内直接投资项下外汇登记核准和境外直接投资项下外汇登记核准两项行政审批事项，同时简化部分直接投资外汇业务办理手续。</w:t>
      </w:r>
      <w:r>
        <w:rPr>
          <w:rFonts w:hint="eastAsia" w:ascii="微软雅黑" w:hAnsi="微软雅黑" w:eastAsia="微软雅黑"/>
          <w:color w:val="auto"/>
          <w:sz w:val="24"/>
          <w:szCs w:val="24"/>
          <w:lang w:eastAsia="zh-TW"/>
        </w:rPr>
        <w:t xml:space="preserve"> </w:t>
      </w:r>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经济纠纷的解决途径</w:t>
      </w:r>
    </w:p>
    <w:p>
      <w:pPr>
        <w:spacing w:before="468" w:beforeLines="15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投资者在内地投资如遇到民商事纠纷，可以采用仲裁或诉讼两种不同的方式解决。当事人可以选择事先达成仲裁协议，约定在出现争端时向仲裁机构申请仲裁，或者直接向人民法院提起诉讼。</w:t>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lang w:eastAsia="zh-TW"/>
        </w:rPr>
      </w:pPr>
      <w:r>
        <w:rPr>
          <w:rFonts w:hint="eastAsia" w:ascii="微软雅黑" w:hAnsi="微软雅黑" w:eastAsia="微软雅黑"/>
          <w:b/>
          <w:color w:val="auto"/>
          <w:sz w:val="24"/>
          <w:szCs w:val="24"/>
          <w:u w:val="single"/>
        </w:rPr>
        <w:t>仲裁制度</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仲裁制度是指争议的双方事先达成协议，自愿将争议提交选定的仲裁机构作出裁决，并有义务履行裁决的一种法律制度。以仲裁解决经济纠纷的方式建立在双方自愿的基础上，并且对于仲裁机构、仲裁员、仲裁地、仲裁语言以及适用法律的选择也由双方自由约定，当事人还可以就开庭审理、证据的提交和意见的陈述等事项达成协议。因此，与法院诉讼的严格程序相比，仲裁程序更为灵活。另一方面，仲裁依法受国家监督，国家通过法院对仲裁协议的效力、仲裁程序的制定以及仲裁裁决的执行和遇有当事人不自愿执行的情况时可按照审判地法律所规定的范围进行干预。</w:t>
      </w:r>
    </w:p>
    <w:p>
      <w:pPr>
        <w:pStyle w:val="28"/>
        <w:numPr>
          <w:ilvl w:val="0"/>
          <w:numId w:val="16"/>
        </w:numPr>
        <w:spacing w:before="156" w:beforeLines="50"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当事人采用仲裁方式解决纠纷，应当双方自愿，达成仲裁协议。没有仲裁协议，一方申请仲裁的，仲裁委员会不予受理。当事人在签订经济合同时若达成仲裁协议的，即排除了向法院提起诉讼解决纠纷的权利，只能向仲裁机构申请仲裁。</w:t>
      </w:r>
    </w:p>
    <w:p>
      <w:pPr>
        <w:pStyle w:val="28"/>
        <w:numPr>
          <w:ilvl w:val="0"/>
          <w:numId w:val="16"/>
        </w:numPr>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仲裁具有保密性。仲裁案件不公开审理，从而有效地保护当事人的商业秘密和商业信誉。</w:t>
      </w:r>
    </w:p>
    <w:p>
      <w:pPr>
        <w:pStyle w:val="28"/>
        <w:numPr>
          <w:ilvl w:val="0"/>
          <w:numId w:val="16"/>
        </w:numPr>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仲裁委员会是常设性仲裁机构，一般在直辖市，省、自治区人民政府所在地的市设立。中国国际经济贸易仲裁委员会广泛受理外商投资在华经贸纠纷，并在中国各大一线、二线城市设有办事处。欲了解详情，请参考中国国际经济贸易仲裁委员会网站（</w:t>
      </w:r>
      <w:bookmarkStart w:id="10" w:name="_Hlk487025447"/>
      <w:r>
        <w:rPr>
          <w:rFonts w:ascii="微软雅黑" w:hAnsi="微软雅黑" w:eastAsia="微软雅黑"/>
          <w:color w:val="auto"/>
          <w:sz w:val="24"/>
          <w:szCs w:val="24"/>
        </w:rPr>
        <w:fldChar w:fldCharType="begin"/>
      </w:r>
      <w:r>
        <w:rPr>
          <w:rFonts w:ascii="微软雅黑" w:hAnsi="微软雅黑" w:eastAsia="微软雅黑"/>
          <w:color w:val="auto"/>
          <w:sz w:val="24"/>
          <w:szCs w:val="24"/>
        </w:rPr>
        <w:instrText xml:space="preserve"> HYPERLINK "http://cn.cietac.org/" </w:instrText>
      </w:r>
      <w:r>
        <w:rPr>
          <w:rFonts w:ascii="微软雅黑" w:hAnsi="微软雅黑" w:eastAsia="微软雅黑"/>
          <w:color w:val="auto"/>
          <w:sz w:val="24"/>
          <w:szCs w:val="24"/>
        </w:rPr>
        <w:fldChar w:fldCharType="separate"/>
      </w:r>
      <w:r>
        <w:rPr>
          <w:rFonts w:ascii="微软雅黑" w:hAnsi="微软雅黑" w:eastAsia="微软雅黑"/>
          <w:color w:val="auto"/>
          <w:sz w:val="24"/>
          <w:szCs w:val="24"/>
        </w:rPr>
        <w:t>http://cn.cietac.org</w:t>
      </w:r>
      <w:r>
        <w:rPr>
          <w:rFonts w:ascii="微软雅黑" w:hAnsi="微软雅黑" w:eastAsia="微软雅黑"/>
          <w:color w:val="auto"/>
          <w:sz w:val="24"/>
          <w:szCs w:val="24"/>
        </w:rPr>
        <w:fldChar w:fldCharType="end"/>
      </w:r>
      <w:bookmarkEnd w:id="10"/>
      <w:r>
        <w:rPr>
          <w:rFonts w:hint="eastAsia" w:ascii="微软雅黑" w:hAnsi="微软雅黑" w:eastAsia="微软雅黑"/>
          <w:color w:val="auto"/>
          <w:sz w:val="24"/>
          <w:szCs w:val="24"/>
        </w:rPr>
        <w:t xml:space="preserve">）。 </w:t>
      </w:r>
    </w:p>
    <w:p>
      <w:pPr>
        <w:pStyle w:val="28"/>
        <w:numPr>
          <w:ilvl w:val="0"/>
          <w:numId w:val="16"/>
        </w:numPr>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 xml:space="preserve">仲裁实行一裁终局制度。仲裁裁决做出后即发生法律效力，即使当事人对裁决不服，也不能再就同一争议向法院起诉，同时也不能再向仲裁机构申请仲裁或复议。当事人对裁决应当自动履行，否则对方当事人有权申请人民法院强制执行。 </w:t>
      </w:r>
    </w:p>
    <w:p>
      <w:pPr>
        <w:pStyle w:val="28"/>
        <w:keepNext/>
        <w:numPr>
          <w:ilvl w:val="0"/>
          <w:numId w:val="4"/>
        </w:numPr>
        <w:spacing w:before="468" w:beforeLines="150" w:line="400" w:lineRule="exact"/>
        <w:ind w:left="480" w:hanging="480" w:hangingChars="200"/>
        <w:rPr>
          <w:rFonts w:ascii="微软雅黑" w:hAnsi="微软雅黑" w:eastAsia="微软雅黑"/>
          <w:b/>
          <w:color w:val="auto"/>
          <w:sz w:val="24"/>
          <w:szCs w:val="24"/>
          <w:u w:val="single"/>
          <w:lang w:eastAsia="zh-TW"/>
        </w:rPr>
      </w:pPr>
      <w:r>
        <w:rPr>
          <w:rFonts w:hint="eastAsia" w:ascii="微软雅黑" w:hAnsi="微软雅黑" w:eastAsia="微软雅黑"/>
          <w:b/>
          <w:color w:val="auto"/>
          <w:sz w:val="24"/>
          <w:szCs w:val="24"/>
          <w:u w:val="single"/>
        </w:rPr>
        <w:t>民事诉讼制度</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民事诉讼制度是由人民法院对于一项纠纷做出的生效判决具有强制执行力。</w:t>
      </w:r>
      <w:r>
        <w:rPr>
          <w:rFonts w:ascii="微软雅黑" w:hAnsi="微软雅黑" w:eastAsia="微软雅黑"/>
          <w:color w:val="auto"/>
          <w:sz w:val="24"/>
          <w:szCs w:val="24"/>
        </w:rPr>
        <w:t xml:space="preserve">1991 </w:t>
      </w:r>
      <w:r>
        <w:rPr>
          <w:rFonts w:hint="eastAsia" w:ascii="微软雅黑" w:hAnsi="微软雅黑" w:eastAsia="微软雅黑"/>
          <w:color w:val="auto"/>
          <w:sz w:val="24"/>
          <w:szCs w:val="24"/>
        </w:rPr>
        <w:t>年开始实施的《民事诉讼法》（于</w:t>
      </w:r>
      <w:r>
        <w:rPr>
          <w:rFonts w:ascii="微软雅黑" w:hAnsi="微软雅黑" w:eastAsia="微软雅黑"/>
          <w:color w:val="auto"/>
          <w:sz w:val="24"/>
          <w:szCs w:val="24"/>
        </w:rPr>
        <w:t>2012</w:t>
      </w:r>
      <w:r>
        <w:rPr>
          <w:rFonts w:hint="eastAsia" w:ascii="微软雅黑" w:hAnsi="微软雅黑" w:eastAsia="微软雅黑"/>
          <w:color w:val="auto"/>
          <w:sz w:val="24"/>
          <w:szCs w:val="24"/>
        </w:rPr>
        <w:t xml:space="preserve">年第二次修正）是规范民事诉讼制度的基本法律。 </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b/>
          <w:color w:val="auto"/>
          <w:sz w:val="24"/>
          <w:szCs w:val="24"/>
          <w:u w:val="single"/>
        </w:rPr>
        <w:t>根据《民事诉讼法》，经济纠纷审判制度采用两审终审制</w:t>
      </w:r>
      <w:r>
        <w:rPr>
          <w:rFonts w:hint="eastAsia" w:ascii="微软雅黑" w:hAnsi="微软雅黑" w:eastAsia="微软雅黑"/>
          <w:color w:val="auto"/>
          <w:sz w:val="24"/>
          <w:szCs w:val="24"/>
        </w:rPr>
        <w:t>：一般民事案件中，对法人或其他组织提起民事诉讼，由法人住所地人民法院管辖。经过一审判决，若当事人不服，可上诉至二审人民法院，二审人民法院对案件所做的判决、裁定即为终审判决、裁定，当事人不得再上诉。最高人民法院所做的一审判决、裁定，为终审判决、裁定，当事人不得上诉。</w:t>
      </w:r>
    </w:p>
    <w:p>
      <w:pPr>
        <w:spacing w:line="400" w:lineRule="exact"/>
        <w:rPr>
          <w:rFonts w:ascii="微软雅黑" w:hAnsi="微软雅黑" w:eastAsia="微软雅黑"/>
          <w:color w:val="auto"/>
          <w:sz w:val="24"/>
          <w:szCs w:val="24"/>
        </w:rPr>
      </w:pPr>
    </w:p>
    <w:p>
      <w:pPr>
        <w:spacing w:line="400" w:lineRule="exact"/>
        <w:rPr>
          <w:rFonts w:ascii="微软雅黑" w:hAnsi="微软雅黑" w:eastAsia="微软雅黑"/>
          <w:color w:val="auto"/>
          <w:sz w:val="24"/>
          <w:szCs w:val="24"/>
        </w:rPr>
      </w:pPr>
      <w:r>
        <w:rPr>
          <w:rFonts w:hint="eastAsia" w:ascii="微软雅黑" w:hAnsi="微软雅黑" w:eastAsia="微软雅黑"/>
          <w:b/>
          <w:color w:val="auto"/>
          <w:sz w:val="24"/>
          <w:szCs w:val="24"/>
          <w:u w:val="single"/>
        </w:rPr>
        <w:t>诉讼时效</w:t>
      </w:r>
      <w:r>
        <w:rPr>
          <w:rFonts w:hint="eastAsia" w:ascii="微软雅黑" w:hAnsi="微软雅黑" w:eastAsia="微软雅黑"/>
          <w:color w:val="auto"/>
          <w:sz w:val="24"/>
          <w:szCs w:val="24"/>
        </w:rPr>
        <w:t xml:space="preserve">：当事人应当在知道自己权力受到侵害起二年内提起诉讼。当事人不服人民法院第一审判决的，有权在判决书送达之日起十五日内向上一级人民法院提起上诉，当事人不服人民法院第一审裁定的，有权在裁定书送达之日起十日内向上一级人民法院提起上诉，但是国内没有住所的当事人，不服第一审人民法院判决、裁定的，有权在判决书、裁定书送达之日起三十日内提起上诉。 </w:t>
      </w:r>
    </w:p>
    <w:p>
      <w:pPr>
        <w:widowControl/>
        <w:jc w:val="left"/>
        <w:rPr>
          <w:rFonts w:ascii="微软雅黑" w:hAnsi="微软雅黑" w:eastAsia="微软雅黑"/>
          <w:color w:val="auto"/>
          <w:sz w:val="24"/>
          <w:szCs w:val="24"/>
        </w:rPr>
      </w:pPr>
      <w:r>
        <w:rPr>
          <w:rFonts w:ascii="微软雅黑" w:hAnsi="微软雅黑" w:eastAsia="微软雅黑"/>
          <w:color w:val="auto"/>
          <w:sz w:val="24"/>
          <w:szCs w:val="24"/>
        </w:rPr>
        <w:br w:type="page"/>
      </w:r>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知识产权保护</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 xml:space="preserve">内地的知识产权类型主要有：商标权、专利权、著作权和商业秘密。内地有相关法律、法规就知识产权保护、知识产权侵权行为的处罚和解决知识产权纠纷的方式做出规定。 </w:t>
      </w:r>
    </w:p>
    <w:p>
      <w:pPr>
        <w:pStyle w:val="28"/>
        <w:numPr>
          <w:ilvl w:val="0"/>
          <w:numId w:val="4"/>
        </w:numPr>
        <w:spacing w:before="390" w:beforeLines="125" w:line="400" w:lineRule="exact"/>
        <w:ind w:left="480" w:hanging="480" w:hangingChars="200"/>
        <w:rPr>
          <w:rFonts w:ascii="微软雅黑" w:hAnsi="微软雅黑" w:eastAsia="微软雅黑"/>
          <w:b/>
          <w:color w:val="auto"/>
          <w:sz w:val="24"/>
          <w:szCs w:val="24"/>
          <w:u w:val="single"/>
        </w:rPr>
      </w:pPr>
      <w:r>
        <w:rPr>
          <w:rFonts w:hint="eastAsia" w:ascii="微软雅黑" w:hAnsi="微软雅黑" w:eastAsia="微软雅黑"/>
          <w:b/>
          <w:color w:val="auto"/>
          <w:sz w:val="24"/>
          <w:szCs w:val="24"/>
          <w:u w:val="single"/>
        </w:rPr>
        <w:t>侵犯知识产权行为的处理方式</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发生知识产权侵权行为时，权利人或者利害关系人可以请求相应的行政管理机关进行处理，也可以直接向人民法院提起民事诉讼。行政处罚的种类主要有：罚款、责令停止侵害行为、没收违法所得、没收侵权制品等。知识产权侵权行为情节严重的，可对直接责任人员依法追究刑事责任。</w:t>
      </w:r>
    </w:p>
    <w:p>
      <w:pPr>
        <w:spacing w:line="400" w:lineRule="exact"/>
        <w:rPr>
          <w:rFonts w:ascii="微软雅黑" w:hAnsi="微软雅黑" w:eastAsia="微软雅黑"/>
          <w:color w:val="auto"/>
          <w:sz w:val="24"/>
          <w:szCs w:val="24"/>
        </w:rPr>
      </w:pPr>
      <w:r>
        <w:rPr>
          <w:rFonts w:ascii="微软雅黑" w:hAnsi="微软雅黑" w:eastAsia="微软雅黑"/>
          <w:color w:val="auto"/>
          <w:sz w:val="24"/>
          <w:szCs w:val="24"/>
        </w:rPr>
        <w:t>2009</w:t>
      </w:r>
      <w:r>
        <w:rPr>
          <w:rFonts w:hint="eastAsia" w:ascii="微软雅黑" w:hAnsi="微软雅黑" w:eastAsia="微软雅黑"/>
          <w:color w:val="auto"/>
          <w:sz w:val="24"/>
          <w:szCs w:val="24"/>
        </w:rPr>
        <w:t>年</w:t>
      </w:r>
      <w:r>
        <w:rPr>
          <w:rFonts w:ascii="微软雅黑" w:hAnsi="微软雅黑" w:eastAsia="微软雅黑"/>
          <w:color w:val="auto"/>
          <w:sz w:val="24"/>
          <w:szCs w:val="24"/>
        </w:rPr>
        <w:t>7</w:t>
      </w:r>
      <w:r>
        <w:rPr>
          <w:rFonts w:hint="eastAsia" w:ascii="微软雅黑" w:hAnsi="微软雅黑" w:eastAsia="微软雅黑"/>
          <w:color w:val="auto"/>
          <w:sz w:val="24"/>
          <w:szCs w:val="24"/>
        </w:rPr>
        <w:t>月起实施的《中华人民共和国海关关于〈中华人民共和国知识产权海关保护条例〉的实施办法》第</w:t>
      </w:r>
      <w:r>
        <w:rPr>
          <w:rFonts w:ascii="微软雅黑" w:hAnsi="微软雅黑" w:eastAsia="微软雅黑"/>
          <w:color w:val="auto"/>
          <w:sz w:val="24"/>
          <w:szCs w:val="24"/>
        </w:rPr>
        <w:t>21</w:t>
      </w:r>
      <w:r>
        <w:rPr>
          <w:rFonts w:hint="eastAsia" w:ascii="微软雅黑" w:hAnsi="微软雅黑" w:eastAsia="微软雅黑"/>
          <w:color w:val="auto"/>
          <w:sz w:val="24"/>
          <w:szCs w:val="24"/>
        </w:rPr>
        <w:t xml:space="preserve">条规定：「海关对进出口货物实施监管，发现进出口货物涉及在海关总署备案的知识产权且进出口商或者制造商使用有关知识产权的情况未在海关总署备案的，可以要求收发货人在规定期限内申报货物的知识产权状况和提交相关证明文件」。进出口货物的收发货人未按照该规定申报货物知识产权状况、提交相关证明文件或者海关有理由认为货物涉嫌侵犯在海关总署备案的知识产权的，海关应当中止放行货物并书面通知知识产权权利人。 </w:t>
      </w:r>
    </w:p>
    <w:p>
      <w:pPr>
        <w:spacing w:line="400" w:lineRule="exact"/>
        <w:rPr>
          <w:rFonts w:ascii="微软雅黑" w:hAnsi="微软雅黑" w:eastAsia="微软雅黑"/>
          <w:color w:val="auto"/>
        </w:rPr>
      </w:pP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 xml:space="preserve">欲了解在内地申请专利权、商标权和著作权的详细信息，可向专业咨询机构进行咨询，或参考以下相关政府机构的网站： </w:t>
      </w:r>
    </w:p>
    <w:p>
      <w:pPr>
        <w:pStyle w:val="28"/>
        <w:numPr>
          <w:ilvl w:val="1"/>
          <w:numId w:val="17"/>
        </w:numPr>
        <w:spacing w:before="156" w:beforeLines="50"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国家知识产权局：</w:t>
      </w:r>
      <w:r>
        <w:rPr>
          <w:color w:val="auto"/>
        </w:rPr>
        <w:fldChar w:fldCharType="begin"/>
      </w:r>
      <w:r>
        <w:rPr>
          <w:color w:val="auto"/>
        </w:rPr>
        <w:instrText xml:space="preserve"> HYPERLINK "http://www.sipo.gov.cn" </w:instrText>
      </w:r>
      <w:r>
        <w:rPr>
          <w:color w:val="auto"/>
        </w:rPr>
        <w:fldChar w:fldCharType="separate"/>
      </w:r>
      <w:r>
        <w:rPr>
          <w:rFonts w:ascii="微软雅黑" w:hAnsi="微软雅黑" w:eastAsia="微软雅黑"/>
          <w:color w:val="auto"/>
          <w:sz w:val="24"/>
          <w:szCs w:val="24"/>
        </w:rPr>
        <w:t>http://www.sipo.gov.cn</w:t>
      </w:r>
      <w:r>
        <w:rPr>
          <w:rFonts w:ascii="微软雅黑" w:hAnsi="微软雅黑" w:eastAsia="微软雅黑"/>
          <w:color w:val="auto"/>
          <w:sz w:val="24"/>
          <w:szCs w:val="24"/>
        </w:rPr>
        <w:fldChar w:fldCharType="end"/>
      </w:r>
    </w:p>
    <w:p>
      <w:pPr>
        <w:pStyle w:val="28"/>
        <w:numPr>
          <w:ilvl w:val="1"/>
          <w:numId w:val="17"/>
        </w:numPr>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国家版权局：</w:t>
      </w:r>
      <w:r>
        <w:rPr>
          <w:color w:val="auto"/>
        </w:rPr>
        <w:fldChar w:fldCharType="begin"/>
      </w:r>
      <w:r>
        <w:rPr>
          <w:color w:val="auto"/>
        </w:rPr>
        <w:instrText xml:space="preserve"> HYPERLINK "http://www.ncac.gov.cn" </w:instrText>
      </w:r>
      <w:r>
        <w:rPr>
          <w:color w:val="auto"/>
        </w:rPr>
        <w:fldChar w:fldCharType="separate"/>
      </w:r>
      <w:r>
        <w:rPr>
          <w:rFonts w:ascii="微软雅黑" w:hAnsi="微软雅黑" w:eastAsia="微软雅黑"/>
          <w:color w:val="auto"/>
          <w:sz w:val="24"/>
          <w:szCs w:val="24"/>
        </w:rPr>
        <w:t>http://www.ncac.gov.cn</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 xml:space="preserve"> </w:t>
      </w:r>
    </w:p>
    <w:p>
      <w:pPr>
        <w:pStyle w:val="28"/>
        <w:numPr>
          <w:ilvl w:val="1"/>
          <w:numId w:val="17"/>
        </w:numPr>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国家工商行政管理总局商标局：</w:t>
      </w:r>
      <w:r>
        <w:rPr>
          <w:color w:val="auto"/>
        </w:rPr>
        <w:fldChar w:fldCharType="begin"/>
      </w:r>
      <w:r>
        <w:rPr>
          <w:color w:val="auto"/>
        </w:rPr>
        <w:instrText xml:space="preserve"> HYPERLINK "http://sbj.saic.gov.cn" </w:instrText>
      </w:r>
      <w:r>
        <w:rPr>
          <w:color w:val="auto"/>
        </w:rPr>
        <w:fldChar w:fldCharType="separate"/>
      </w:r>
      <w:r>
        <w:rPr>
          <w:rFonts w:ascii="微软雅黑" w:hAnsi="微软雅黑" w:eastAsia="微软雅黑"/>
          <w:color w:val="auto"/>
          <w:sz w:val="24"/>
          <w:szCs w:val="24"/>
        </w:rPr>
        <w:t>http://sbj.saic.gov.cn</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 xml:space="preserve"> </w:t>
      </w:r>
    </w:p>
    <w:p>
      <w:pPr>
        <w:pStyle w:val="28"/>
        <w:numPr>
          <w:ilvl w:val="1"/>
          <w:numId w:val="17"/>
        </w:numPr>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中国保护知识产权网：</w:t>
      </w:r>
      <w:r>
        <w:rPr>
          <w:color w:val="auto"/>
        </w:rPr>
        <w:fldChar w:fldCharType="begin"/>
      </w:r>
      <w:r>
        <w:rPr>
          <w:color w:val="auto"/>
        </w:rPr>
        <w:instrText xml:space="preserve"> HYPERLINK "http://www.ipr.gov.cn" </w:instrText>
      </w:r>
      <w:r>
        <w:rPr>
          <w:color w:val="auto"/>
        </w:rPr>
        <w:fldChar w:fldCharType="separate"/>
      </w:r>
      <w:r>
        <w:rPr>
          <w:rFonts w:ascii="微软雅黑" w:hAnsi="微软雅黑" w:eastAsia="微软雅黑"/>
          <w:color w:val="auto"/>
          <w:sz w:val="24"/>
          <w:szCs w:val="24"/>
        </w:rPr>
        <w:t>http://www.ipr.gov.cn</w:t>
      </w:r>
      <w:r>
        <w:rPr>
          <w:rFonts w:ascii="微软雅黑" w:hAnsi="微软雅黑" w:eastAsia="微软雅黑"/>
          <w:color w:val="auto"/>
          <w:sz w:val="24"/>
          <w:szCs w:val="24"/>
        </w:rPr>
        <w:fldChar w:fldCharType="end"/>
      </w:r>
    </w:p>
    <w:p>
      <w:pPr>
        <w:pStyle w:val="28"/>
        <w:numPr>
          <w:ilvl w:val="0"/>
          <w:numId w:val="2"/>
        </w:numPr>
        <w:spacing w:before="390" w:beforeLines="125"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内地商贸政策、法规和经济发展等资料的及时获取方式</w:t>
      </w:r>
    </w:p>
    <w:p>
      <w:pPr>
        <w:spacing w:before="312" w:beforeLines="100"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lang w:eastAsia="zh-CN"/>
        </w:rPr>
        <w:t>相关信息</w:t>
      </w:r>
      <w:r>
        <w:rPr>
          <w:rFonts w:hint="eastAsia" w:ascii="微软雅黑" w:hAnsi="微软雅黑" w:eastAsia="微软雅黑"/>
          <w:color w:val="auto"/>
          <w:sz w:val="24"/>
          <w:szCs w:val="24"/>
        </w:rPr>
        <w:t>可从中央人民政府网站（</w:t>
      </w:r>
      <w:r>
        <w:rPr>
          <w:color w:val="auto"/>
        </w:rPr>
        <w:fldChar w:fldCharType="begin"/>
      </w:r>
      <w:r>
        <w:rPr>
          <w:color w:val="auto"/>
        </w:rPr>
        <w:instrText xml:space="preserve"> HYPERLINK "http://www.gov.cn" </w:instrText>
      </w:r>
      <w:r>
        <w:rPr>
          <w:color w:val="auto"/>
        </w:rPr>
        <w:fldChar w:fldCharType="separate"/>
      </w:r>
      <w:r>
        <w:rPr>
          <w:rFonts w:ascii="微软雅黑" w:hAnsi="微软雅黑" w:eastAsia="微软雅黑"/>
          <w:color w:val="auto"/>
          <w:sz w:val="24"/>
          <w:szCs w:val="24"/>
        </w:rPr>
        <w:t>http://www.gov.cn</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）获得最新的国家法律法规的相关信息。而从成都市政府网（</w:t>
      </w:r>
      <w:r>
        <w:rPr>
          <w:color w:val="auto"/>
        </w:rPr>
        <w:fldChar w:fldCharType="begin"/>
      </w:r>
      <w:r>
        <w:rPr>
          <w:color w:val="auto"/>
        </w:rPr>
        <w:instrText xml:space="preserve"> HYPERLINK "http://www.chengdu.gov.cn" </w:instrText>
      </w:r>
      <w:r>
        <w:rPr>
          <w:color w:val="auto"/>
        </w:rPr>
        <w:fldChar w:fldCharType="separate"/>
      </w:r>
      <w:r>
        <w:rPr>
          <w:rFonts w:ascii="微软雅黑" w:hAnsi="微软雅黑" w:eastAsia="微软雅黑"/>
          <w:color w:val="auto"/>
          <w:sz w:val="24"/>
          <w:szCs w:val="24"/>
        </w:rPr>
        <w:t>http://www.chengdu.gov.cn</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）及成都市商务局网站（</w:t>
      </w:r>
      <w:r>
        <w:rPr>
          <w:color w:val="auto"/>
        </w:rPr>
        <w:fldChar w:fldCharType="begin"/>
      </w:r>
      <w:r>
        <w:rPr>
          <w:color w:val="auto"/>
        </w:rPr>
        <w:instrText xml:space="preserve"> HYPERLINK "http://www.cdmbc.gov.cn" </w:instrText>
      </w:r>
      <w:r>
        <w:rPr>
          <w:color w:val="auto"/>
        </w:rPr>
        <w:fldChar w:fldCharType="separate"/>
      </w:r>
      <w:r>
        <w:rPr>
          <w:rFonts w:ascii="微软雅黑" w:hAnsi="微软雅黑" w:eastAsia="微软雅黑"/>
          <w:color w:val="auto"/>
          <w:sz w:val="24"/>
          <w:szCs w:val="24"/>
        </w:rPr>
        <w:t>http://www.cdmbc.gov.cn</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）可获得最新的成都市商贸政策及经济发展的相关信息。从驻成都办网页（</w:t>
      </w:r>
      <w:r>
        <w:rPr>
          <w:color w:val="auto"/>
        </w:rPr>
        <w:fldChar w:fldCharType="begin"/>
      </w:r>
      <w:r>
        <w:rPr>
          <w:color w:val="auto"/>
        </w:rPr>
        <w:instrText xml:space="preserve"> HYPERLINK "http://www.cdeto.gov.hk" </w:instrText>
      </w:r>
      <w:r>
        <w:rPr>
          <w:color w:val="auto"/>
        </w:rPr>
        <w:fldChar w:fldCharType="separate"/>
      </w:r>
      <w:r>
        <w:rPr>
          <w:rFonts w:ascii="微软雅黑" w:hAnsi="微软雅黑" w:eastAsia="微软雅黑"/>
          <w:color w:val="auto"/>
          <w:sz w:val="24"/>
          <w:szCs w:val="24"/>
        </w:rPr>
        <w:t>http://www.cdeto.gov.hk</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）上也能获取不时更新的经贸信息。</w:t>
      </w:r>
    </w:p>
    <w:p>
      <w:pPr>
        <w:widowControl/>
        <w:spacing w:line="400" w:lineRule="exact"/>
        <w:jc w:val="left"/>
        <w:rPr>
          <w:rFonts w:ascii="微软雅黑" w:hAnsi="微软雅黑" w:eastAsia="微软雅黑"/>
          <w:b/>
          <w:color w:val="auto"/>
          <w:sz w:val="32"/>
          <w:szCs w:val="32"/>
        </w:rPr>
      </w:pPr>
      <w:bookmarkStart w:id="11" w:name="_Toc374091276"/>
      <w:r>
        <w:rPr>
          <w:rFonts w:ascii="微软雅黑" w:hAnsi="微软雅黑" w:eastAsia="微软雅黑"/>
          <w:b/>
          <w:color w:val="auto"/>
          <w:sz w:val="32"/>
          <w:szCs w:val="32"/>
        </w:rPr>
        <w:br w:type="page"/>
      </w:r>
    </w:p>
    <w:p>
      <w:pPr>
        <w:pStyle w:val="28"/>
        <w:numPr>
          <w:ilvl w:val="0"/>
          <w:numId w:val="1"/>
        </w:numPr>
        <w:ind w:left="720" w:hanging="720" w:hangingChars="200"/>
        <w:outlineLvl w:val="0"/>
        <w:rPr>
          <w:rFonts w:ascii="微软雅黑" w:hAnsi="微软雅黑" w:eastAsia="微软雅黑"/>
          <w:b/>
          <w:color w:val="auto"/>
          <w:sz w:val="36"/>
          <w:szCs w:val="24"/>
          <w:lang w:eastAsia="zh-TW"/>
        </w:rPr>
      </w:pPr>
      <w:bookmarkStart w:id="12" w:name="_Toc475364384"/>
      <w:r>
        <w:rPr>
          <w:rFonts w:hint="eastAsia" w:ascii="微软雅黑" w:hAnsi="微软雅黑" w:eastAsia="微软雅黑"/>
          <w:b/>
          <w:color w:val="auto"/>
          <w:sz w:val="36"/>
          <w:szCs w:val="24"/>
        </w:rPr>
        <w:t>住房</w:t>
      </w:r>
      <w:bookmarkEnd w:id="12"/>
    </w:p>
    <w:p>
      <w:pPr>
        <w:autoSpaceDE w:val="0"/>
        <w:autoSpaceDN w:val="0"/>
        <w:adjustRightInd w:val="0"/>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初到成都，可以选择不同的方法解决住房需求，例如入住酒店、宾馆或公寓，也可以租赁或购买房屋。</w:t>
      </w:r>
    </w:p>
    <w:p>
      <w:pPr>
        <w:pStyle w:val="28"/>
        <w:numPr>
          <w:ilvl w:val="0"/>
          <w:numId w:val="2"/>
        </w:numPr>
        <w:spacing w:before="546" w:beforeLines="175"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办理暂住登记</w:t>
      </w:r>
    </w:p>
    <w:p>
      <w:pPr>
        <w:spacing w:before="312" w:beforeLines="100"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根据《中华人民共和国外国人入境出境管理法》及其实施细则，</w:t>
      </w: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短期来内地，要按照户口管理规定，办理暂住登记。在宾馆、饭店、旅店、招待所、学校等企业、事业单位内住宿的，应当填写临时住宿登记表；住在亲友家的，由本人或者亲友向所在地公安派出所或者户籍办公室办理暂住登记。详情请见中国公安部网站（</w:t>
      </w:r>
      <w:r>
        <w:rPr>
          <w:color w:val="auto"/>
        </w:rPr>
        <w:fldChar w:fldCharType="begin"/>
      </w:r>
      <w:r>
        <w:rPr>
          <w:color w:val="auto"/>
        </w:rPr>
        <w:instrText xml:space="preserve"> HYPERLINK "http://www.mps.gov.cn" </w:instrText>
      </w:r>
      <w:r>
        <w:rPr>
          <w:color w:val="auto"/>
        </w:rPr>
        <w:fldChar w:fldCharType="separate"/>
      </w:r>
      <w:r>
        <w:rPr>
          <w:rFonts w:ascii="微软雅黑" w:hAnsi="微软雅黑" w:eastAsia="微软雅黑"/>
          <w:color w:val="auto"/>
          <w:sz w:val="24"/>
          <w:szCs w:val="24"/>
        </w:rPr>
        <w:t>http://www.mps.gov.cn</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w:t>
      </w:r>
    </w:p>
    <w:p>
      <w:pPr>
        <w:pStyle w:val="28"/>
        <w:numPr>
          <w:ilvl w:val="0"/>
          <w:numId w:val="2"/>
        </w:numPr>
        <w:spacing w:before="546" w:beforeLines="175"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住宅物业租赁</w:t>
      </w:r>
    </w:p>
    <w:p>
      <w:pPr>
        <w:spacing w:before="312" w:beforeLines="100"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如需要在内地租赁房屋，可以委托专业的房屋经纪公司，也可以直接向业主进行租赁。在租赁房屋时，应以书面形式与出租人订立房屋租赁合同。房屋租赁合同的内容可与出租人约定。</w:t>
      </w: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在租赁房屋时应避免与非业主进行房屋租赁交易，在签订房屋租赁合同时应注意下列事项：</w:t>
      </w:r>
      <w:r>
        <w:rPr>
          <w:rFonts w:ascii="微软雅黑" w:hAnsi="微软雅黑" w:eastAsia="微软雅黑"/>
          <w:color w:val="auto"/>
          <w:sz w:val="24"/>
          <w:szCs w:val="24"/>
        </w:rPr>
        <w:t xml:space="preserve"> </w:t>
      </w:r>
    </w:p>
    <w:p>
      <w:pPr>
        <w:pStyle w:val="28"/>
        <w:numPr>
          <w:ilvl w:val="0"/>
          <w:numId w:val="18"/>
        </w:numPr>
        <w:autoSpaceDE w:val="0"/>
        <w:autoSpaceDN w:val="0"/>
        <w:adjustRightInd w:val="0"/>
        <w:spacing w:before="156" w:beforeLines="50"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房屋出租方（房东）的个人资料、住所地址；</w:t>
      </w:r>
      <w:r>
        <w:rPr>
          <w:rFonts w:ascii="微软雅黑" w:hAnsi="微软雅黑" w:eastAsia="微软雅黑"/>
          <w:color w:val="auto"/>
          <w:sz w:val="24"/>
          <w:szCs w:val="24"/>
        </w:rPr>
        <w:t xml:space="preserve"> </w:t>
      </w:r>
    </w:p>
    <w:p>
      <w:pPr>
        <w:pStyle w:val="28"/>
        <w:numPr>
          <w:ilvl w:val="0"/>
          <w:numId w:val="18"/>
        </w:numPr>
        <w:autoSpaceDE w:val="0"/>
        <w:autoSpaceDN w:val="0"/>
        <w:adjustRightInd w:val="0"/>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房屋的位置、面积、装修及设施，特别需要留意房屋状况是否与合同约定的一致；水电气表等数字；煤气炉的安全性及电梯安全等；</w:t>
      </w:r>
      <w:r>
        <w:rPr>
          <w:rFonts w:ascii="微软雅黑" w:hAnsi="微软雅黑" w:eastAsia="微软雅黑"/>
          <w:color w:val="auto"/>
          <w:sz w:val="24"/>
          <w:szCs w:val="24"/>
        </w:rPr>
        <w:t xml:space="preserve"> </w:t>
      </w:r>
    </w:p>
    <w:p>
      <w:pPr>
        <w:pStyle w:val="28"/>
        <w:numPr>
          <w:ilvl w:val="0"/>
          <w:numId w:val="18"/>
        </w:numPr>
        <w:autoSpaceDE w:val="0"/>
        <w:autoSpaceDN w:val="0"/>
        <w:adjustRightInd w:val="0"/>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租赁用途（自住或货仓）；</w:t>
      </w:r>
      <w:r>
        <w:rPr>
          <w:rFonts w:ascii="微软雅黑" w:hAnsi="微软雅黑" w:eastAsia="微软雅黑"/>
          <w:color w:val="auto"/>
          <w:sz w:val="24"/>
          <w:szCs w:val="24"/>
        </w:rPr>
        <w:t xml:space="preserve"> </w:t>
      </w:r>
    </w:p>
    <w:p>
      <w:pPr>
        <w:pStyle w:val="28"/>
        <w:numPr>
          <w:ilvl w:val="0"/>
          <w:numId w:val="18"/>
        </w:numPr>
        <w:autoSpaceDE w:val="0"/>
        <w:autoSpaceDN w:val="0"/>
        <w:adjustRightInd w:val="0"/>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租赁期限以及房租支付的期限（如月付、季付或者年付）；</w:t>
      </w:r>
      <w:r>
        <w:rPr>
          <w:rFonts w:ascii="微软雅黑" w:hAnsi="微软雅黑" w:eastAsia="微软雅黑"/>
          <w:color w:val="auto"/>
          <w:sz w:val="24"/>
          <w:szCs w:val="24"/>
        </w:rPr>
        <w:t xml:space="preserve"> </w:t>
      </w:r>
    </w:p>
    <w:p>
      <w:pPr>
        <w:pStyle w:val="28"/>
        <w:numPr>
          <w:ilvl w:val="0"/>
          <w:numId w:val="18"/>
        </w:numPr>
        <w:autoSpaceDE w:val="0"/>
        <w:autoSpaceDN w:val="0"/>
        <w:adjustRightInd w:val="0"/>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租金及税金交付方式（现金或者银行转账）；</w:t>
      </w:r>
      <w:r>
        <w:rPr>
          <w:rFonts w:ascii="微软雅黑" w:hAnsi="微软雅黑" w:eastAsia="微软雅黑"/>
          <w:color w:val="auto"/>
          <w:sz w:val="24"/>
          <w:szCs w:val="24"/>
        </w:rPr>
        <w:t xml:space="preserve"> </w:t>
      </w:r>
    </w:p>
    <w:p>
      <w:pPr>
        <w:pStyle w:val="28"/>
        <w:numPr>
          <w:ilvl w:val="0"/>
          <w:numId w:val="18"/>
        </w:numPr>
        <w:autoSpaceDE w:val="0"/>
        <w:autoSpaceDN w:val="0"/>
        <w:adjustRightInd w:val="0"/>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房屋物业服务费的承担方；</w:t>
      </w:r>
      <w:r>
        <w:rPr>
          <w:rFonts w:ascii="微软雅黑" w:hAnsi="微软雅黑" w:eastAsia="微软雅黑"/>
          <w:color w:val="auto"/>
          <w:sz w:val="24"/>
          <w:szCs w:val="24"/>
        </w:rPr>
        <w:t xml:space="preserve"> </w:t>
      </w:r>
    </w:p>
    <w:p>
      <w:pPr>
        <w:pStyle w:val="28"/>
        <w:numPr>
          <w:ilvl w:val="0"/>
          <w:numId w:val="18"/>
        </w:numPr>
        <w:autoSpaceDE w:val="0"/>
        <w:autoSpaceDN w:val="0"/>
        <w:adjustRightInd w:val="0"/>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房屋修缮责任（由房东或者租赁人负责）；</w:t>
      </w:r>
      <w:r>
        <w:rPr>
          <w:rFonts w:ascii="微软雅黑" w:hAnsi="微软雅黑" w:eastAsia="微软雅黑"/>
          <w:color w:val="auto"/>
          <w:sz w:val="24"/>
          <w:szCs w:val="24"/>
        </w:rPr>
        <w:t xml:space="preserve"> </w:t>
      </w:r>
    </w:p>
    <w:p>
      <w:pPr>
        <w:pStyle w:val="28"/>
        <w:numPr>
          <w:ilvl w:val="0"/>
          <w:numId w:val="18"/>
        </w:numPr>
        <w:autoSpaceDE w:val="0"/>
        <w:autoSpaceDN w:val="0"/>
        <w:adjustRightInd w:val="0"/>
        <w:spacing w:before="78" w:beforeLines="25" w:line="400" w:lineRule="exact"/>
        <w:ind w:left="480" w:hanging="480" w:hangingChars="200"/>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转租的约定；</w:t>
      </w:r>
      <w:r>
        <w:rPr>
          <w:rFonts w:ascii="微软雅黑" w:hAnsi="微软雅黑" w:eastAsia="微软雅黑"/>
          <w:color w:val="auto"/>
          <w:sz w:val="24"/>
          <w:szCs w:val="24"/>
          <w:lang w:eastAsia="zh-TW"/>
        </w:rPr>
        <w:t xml:space="preserve"> </w:t>
      </w:r>
    </w:p>
    <w:p>
      <w:pPr>
        <w:pStyle w:val="28"/>
        <w:numPr>
          <w:ilvl w:val="0"/>
          <w:numId w:val="18"/>
        </w:numPr>
        <w:autoSpaceDE w:val="0"/>
        <w:autoSpaceDN w:val="0"/>
        <w:adjustRightInd w:val="0"/>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变更和解除租赁合同的条件；</w:t>
      </w:r>
      <w:r>
        <w:rPr>
          <w:rFonts w:ascii="微软雅黑" w:hAnsi="微软雅黑" w:eastAsia="微软雅黑"/>
          <w:color w:val="auto"/>
          <w:sz w:val="24"/>
          <w:szCs w:val="24"/>
        </w:rPr>
        <w:t xml:space="preserve"> </w:t>
      </w:r>
    </w:p>
    <w:p>
      <w:pPr>
        <w:pStyle w:val="28"/>
        <w:numPr>
          <w:ilvl w:val="0"/>
          <w:numId w:val="18"/>
        </w:numPr>
        <w:autoSpaceDE w:val="0"/>
        <w:autoSpaceDN w:val="0"/>
        <w:adjustRightInd w:val="0"/>
        <w:spacing w:before="78" w:beforeLines="25" w:line="400" w:lineRule="exact"/>
        <w:ind w:left="480" w:hanging="480" w:hangingChars="200"/>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违约责任；</w:t>
      </w:r>
    </w:p>
    <w:p>
      <w:pPr>
        <w:autoSpaceDE w:val="0"/>
        <w:autoSpaceDN w:val="0"/>
        <w:adjustRightInd w:val="0"/>
        <w:spacing w:before="78" w:beforeLines="25" w:line="400" w:lineRule="exact"/>
        <w:rPr>
          <w:rFonts w:ascii="微软雅黑" w:hAnsi="微软雅黑" w:eastAsia="PMingLiU"/>
          <w:color w:val="auto"/>
          <w:sz w:val="24"/>
          <w:szCs w:val="24"/>
          <w:lang w:eastAsia="zh-TW"/>
        </w:rPr>
      </w:pPr>
    </w:p>
    <w:p>
      <w:pPr>
        <w:pStyle w:val="28"/>
        <w:numPr>
          <w:ilvl w:val="0"/>
          <w:numId w:val="18"/>
        </w:numPr>
        <w:autoSpaceDE w:val="0"/>
        <w:autoSpaceDN w:val="0"/>
        <w:adjustRightInd w:val="0"/>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租赁合约需明确订明水费、电费、煤气费、电话费、有线电视收视费、卫生费和物业管理费等租金以外的开支由哪一方支付，并列明出租前的各项数字，以区分责任；</w:t>
      </w:r>
    </w:p>
    <w:p>
      <w:pPr>
        <w:pStyle w:val="28"/>
        <w:numPr>
          <w:ilvl w:val="0"/>
          <w:numId w:val="18"/>
        </w:numPr>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房屋租赁税务条款及发票安排；以及</w:t>
      </w:r>
    </w:p>
    <w:p>
      <w:pPr>
        <w:pStyle w:val="28"/>
        <w:numPr>
          <w:ilvl w:val="0"/>
          <w:numId w:val="18"/>
        </w:numPr>
        <w:autoSpaceDE w:val="0"/>
        <w:autoSpaceDN w:val="0"/>
        <w:adjustRightInd w:val="0"/>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在提供个人身份文件时，应提供复印件并在上面写明仅供房屋租赁用途。</w:t>
      </w:r>
    </w:p>
    <w:p>
      <w:pPr>
        <w:spacing w:line="400" w:lineRule="exact"/>
        <w:rPr>
          <w:rFonts w:ascii="微软雅黑" w:hAnsi="微软雅黑" w:eastAsia="微软雅黑"/>
          <w:color w:val="auto"/>
          <w:sz w:val="24"/>
          <w:szCs w:val="24"/>
        </w:rPr>
      </w:pPr>
    </w:p>
    <w:bookmarkEnd w:id="11"/>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如需了解房屋租赁的流程及其需要的文件，可参考成都市城乡房产管理局（以下简称「房管局」）网站（</w:t>
      </w:r>
      <w:r>
        <w:rPr>
          <w:color w:val="auto"/>
        </w:rPr>
        <w:fldChar w:fldCharType="begin"/>
      </w:r>
      <w:r>
        <w:rPr>
          <w:color w:val="auto"/>
        </w:rPr>
        <w:instrText xml:space="preserve"> HYPERLINK "http://www.cdfgj.gov.cn" </w:instrText>
      </w:r>
      <w:r>
        <w:rPr>
          <w:color w:val="auto"/>
        </w:rPr>
        <w:fldChar w:fldCharType="separate"/>
      </w:r>
      <w:r>
        <w:rPr>
          <w:rFonts w:ascii="微软雅黑" w:hAnsi="微软雅黑" w:eastAsia="微软雅黑"/>
          <w:color w:val="auto"/>
          <w:sz w:val="24"/>
          <w:szCs w:val="24"/>
        </w:rPr>
        <w:t>http://www.cdfgj.gov.cn</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w:t>
      </w:r>
    </w:p>
    <w:p>
      <w:pPr>
        <w:autoSpaceDE w:val="0"/>
        <w:autoSpaceDN w:val="0"/>
        <w:adjustRightInd w:val="0"/>
        <w:spacing w:line="400" w:lineRule="exact"/>
        <w:rPr>
          <w:rFonts w:ascii="微软雅黑" w:hAnsi="微软雅黑" w:eastAsia="微软雅黑"/>
          <w:color w:val="auto"/>
          <w:sz w:val="24"/>
          <w:szCs w:val="24"/>
        </w:rPr>
      </w:pPr>
      <w:bookmarkStart w:id="13" w:name="_Toc374091277"/>
    </w:p>
    <w:p>
      <w:pPr>
        <w:autoSpaceDE w:val="0"/>
        <w:autoSpaceDN w:val="0"/>
        <w:adjustRightInd w:val="0"/>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值得注意的是，根据《成都市房屋租赁管理办法》有关规定，以下</w:t>
      </w:r>
      <w:r>
        <w:rPr>
          <w:rFonts w:ascii="微软雅黑" w:hAnsi="微软雅黑" w:eastAsia="微软雅黑"/>
          <w:color w:val="auto"/>
          <w:sz w:val="24"/>
          <w:szCs w:val="24"/>
        </w:rPr>
        <w:t>6</w:t>
      </w:r>
      <w:r>
        <w:rPr>
          <w:rFonts w:hint="eastAsia" w:ascii="微软雅黑" w:hAnsi="微软雅黑" w:eastAsia="微软雅黑"/>
          <w:color w:val="auto"/>
          <w:sz w:val="24"/>
          <w:szCs w:val="24"/>
        </w:rPr>
        <w:t>种房屋是不能出租：</w:t>
      </w:r>
    </w:p>
    <w:p>
      <w:pPr>
        <w:numPr>
          <w:ilvl w:val="0"/>
          <w:numId w:val="19"/>
        </w:numPr>
        <w:spacing w:before="156" w:beforeLines="50"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未依法取得房屋所有权证明或未经房屋所有权人授权出租的；</w:t>
      </w:r>
    </w:p>
    <w:p>
      <w:pPr>
        <w:numPr>
          <w:ilvl w:val="0"/>
          <w:numId w:val="19"/>
        </w:numPr>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被依法查封或以其他形式限制房地产权利的；</w:t>
      </w:r>
    </w:p>
    <w:p>
      <w:pPr>
        <w:numPr>
          <w:ilvl w:val="0"/>
          <w:numId w:val="19"/>
        </w:numPr>
        <w:spacing w:before="78" w:beforeLines="25" w:line="400" w:lineRule="exact"/>
        <w:ind w:left="480" w:hanging="480" w:hangingChars="200"/>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共有房屋未取得全体共有人同意的；</w:t>
      </w:r>
    </w:p>
    <w:p>
      <w:pPr>
        <w:numPr>
          <w:ilvl w:val="0"/>
          <w:numId w:val="19"/>
        </w:numPr>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不符合房屋安全标准的；</w:t>
      </w:r>
    </w:p>
    <w:p>
      <w:pPr>
        <w:numPr>
          <w:ilvl w:val="0"/>
          <w:numId w:val="19"/>
        </w:numPr>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不符合公安、消防、环保、卫生等部门有关规定的；</w:t>
      </w:r>
    </w:p>
    <w:p>
      <w:pPr>
        <w:numPr>
          <w:ilvl w:val="0"/>
          <w:numId w:val="19"/>
        </w:numPr>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法律、法规、规章规定不能出租的其他情形。</w:t>
      </w:r>
    </w:p>
    <w:bookmarkEnd w:id="13"/>
    <w:p>
      <w:pPr>
        <w:widowControl/>
        <w:autoSpaceDE w:val="0"/>
        <w:autoSpaceDN w:val="0"/>
        <w:adjustRightInd w:val="0"/>
        <w:spacing w:line="380" w:lineRule="exact"/>
        <w:rPr>
          <w:rFonts w:ascii="微软雅黑" w:hAnsi="微软雅黑" w:eastAsia="微软雅黑"/>
          <w:color w:val="auto"/>
          <w:sz w:val="24"/>
          <w:szCs w:val="24"/>
        </w:rPr>
      </w:pPr>
      <w:bookmarkStart w:id="14" w:name="_Toc374091312"/>
      <w:bookmarkStart w:id="15" w:name="_Toc374091278"/>
      <w:r>
        <w:rPr>
          <w:rFonts w:ascii="微软雅黑" w:hAnsi="微软雅黑" w:eastAsia="微软雅黑"/>
          <w:b/>
          <w:color w:val="auto"/>
          <w:sz w:val="32"/>
          <w:szCs w:val="32"/>
        </w:rPr>
        <w:br w:type="page"/>
      </w:r>
    </w:p>
    <w:bookmarkEnd w:id="14"/>
    <w:p>
      <w:pPr>
        <w:pStyle w:val="28"/>
        <w:numPr>
          <w:ilvl w:val="0"/>
          <w:numId w:val="1"/>
        </w:numPr>
        <w:spacing w:line="480" w:lineRule="auto"/>
        <w:ind w:left="720" w:hanging="720" w:hangingChars="200"/>
        <w:outlineLvl w:val="0"/>
        <w:rPr>
          <w:rFonts w:ascii="微软雅黑" w:hAnsi="微软雅黑" w:eastAsia="微软雅黑"/>
          <w:b/>
          <w:color w:val="auto"/>
          <w:sz w:val="36"/>
          <w:szCs w:val="24"/>
          <w:lang w:eastAsia="zh-TW"/>
        </w:rPr>
      </w:pPr>
      <w:bookmarkStart w:id="16" w:name="_Toc475364385"/>
      <w:bookmarkStart w:id="17" w:name="_Toc370891050"/>
      <w:r>
        <w:rPr>
          <w:rFonts w:hint="eastAsia" w:ascii="微软雅黑" w:hAnsi="微软雅黑" w:eastAsia="微软雅黑"/>
          <w:b/>
          <w:color w:val="auto"/>
          <w:sz w:val="36"/>
          <w:szCs w:val="24"/>
        </w:rPr>
        <w:t>医疗</w:t>
      </w:r>
      <w:bookmarkEnd w:id="16"/>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私立医院和公立医院</w:t>
      </w:r>
    </w:p>
    <w:p>
      <w:pPr>
        <w:autoSpaceDE w:val="0"/>
        <w:autoSpaceDN w:val="0"/>
        <w:adjustRightInd w:val="0"/>
        <w:spacing w:before="468" w:beforeLines="15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成都有不少公立和私立医院，部分医院还设立专门的外宾门诊。值得注意的是，内地和香港的医疗不论在制度、体系和服务流程方面都存在差异，</w:t>
      </w: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在就医前须留意各类医院提供的服务，并对自己的病历和医疗需要作适当的评估。</w:t>
      </w:r>
    </w:p>
    <w:p>
      <w:pPr>
        <w:autoSpaceDE w:val="0"/>
        <w:autoSpaceDN w:val="0"/>
        <w:adjustRightInd w:val="0"/>
        <w:spacing w:line="400" w:lineRule="exact"/>
        <w:rPr>
          <w:rFonts w:ascii="微软雅黑" w:hAnsi="微软雅黑" w:eastAsia="微软雅黑"/>
          <w:color w:val="auto"/>
          <w:sz w:val="24"/>
          <w:szCs w:val="24"/>
        </w:rPr>
      </w:pPr>
    </w:p>
    <w:p>
      <w:pPr>
        <w:autoSpaceDE w:val="0"/>
        <w:autoSpaceDN w:val="0"/>
        <w:adjustRightInd w:val="0"/>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此外，部分医院收费窗口设立有</w:t>
      </w:r>
      <w:r>
        <w:rPr>
          <w:rFonts w:ascii="微软雅黑" w:hAnsi="微软雅黑" w:eastAsia="微软雅黑"/>
          <w:color w:val="auto"/>
          <w:sz w:val="24"/>
          <w:szCs w:val="24"/>
        </w:rPr>
        <w:t>POS</w:t>
      </w:r>
      <w:r>
        <w:rPr>
          <w:rFonts w:hint="eastAsia" w:ascii="微软雅黑" w:hAnsi="微软雅黑" w:eastAsia="微软雅黑"/>
          <w:color w:val="auto"/>
          <w:sz w:val="24"/>
          <w:szCs w:val="24"/>
        </w:rPr>
        <w:t>刷卡机，接受信用卡、银联等电子付款，但须注意部分诊疗费用仅限现金支付，具体情况可向就诊医院了解。因此在前往医院就诊前须确保持有足够现金或带同保险公司</w:t>
      </w:r>
      <w:r>
        <w:rPr>
          <w:rFonts w:ascii="微软雅黑" w:hAnsi="微软雅黑" w:eastAsia="微软雅黑"/>
          <w:color w:val="auto"/>
          <w:sz w:val="24"/>
          <w:szCs w:val="24"/>
        </w:rPr>
        <w:t>/</w:t>
      </w:r>
      <w:r>
        <w:rPr>
          <w:rFonts w:hint="eastAsia" w:ascii="微软雅黑" w:hAnsi="微软雅黑" w:eastAsia="微软雅黑"/>
          <w:color w:val="auto"/>
          <w:sz w:val="24"/>
          <w:szCs w:val="24"/>
        </w:rPr>
        <w:t>医疗保险服务提供商出具的会员卡。病人也应该在前往医院或诊所前确认其持有的医疗保险卡是否适用。</w:t>
      </w:r>
    </w:p>
    <w:p>
      <w:pPr>
        <w:autoSpaceDE w:val="0"/>
        <w:autoSpaceDN w:val="0"/>
        <w:adjustRightInd w:val="0"/>
        <w:spacing w:line="400" w:lineRule="exact"/>
        <w:rPr>
          <w:rFonts w:ascii="微软雅黑" w:hAnsi="微软雅黑" w:eastAsia="微软雅黑"/>
          <w:color w:val="auto"/>
          <w:sz w:val="24"/>
          <w:szCs w:val="24"/>
        </w:rPr>
      </w:pPr>
    </w:p>
    <w:p>
      <w:pPr>
        <w:autoSpaceDE w:val="0"/>
        <w:autoSpaceDN w:val="0"/>
        <w:adjustRightInd w:val="0"/>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需要注意的是，境外保险的直接结付医院网络仅涵盖部分中外合资私立医院和公立医院国际医疗部。由于现时内地的大多数医院尚不接受境外医疗保险，</w:t>
      </w:r>
      <w:r>
        <w:rPr>
          <w:rFonts w:hint="eastAsia" w:ascii="微软雅黑" w:hAnsi="微软雅黑" w:eastAsia="微软雅黑"/>
          <w:color w:val="auto"/>
          <w:sz w:val="24"/>
          <w:szCs w:val="24"/>
          <w:lang w:eastAsia="zh-CN"/>
        </w:rPr>
        <w:t>港澳同胞</w:t>
      </w:r>
      <w:r>
        <w:rPr>
          <w:rFonts w:hint="eastAsia" w:ascii="微软雅黑" w:hAnsi="微软雅黑" w:eastAsia="微软雅黑"/>
          <w:color w:val="auto"/>
          <w:sz w:val="24"/>
          <w:szCs w:val="24"/>
        </w:rPr>
        <w:t>在这些医院的费用可能需要凭据相应缴款单及发票向境外保险公司申请赔偿。</w:t>
      </w:r>
    </w:p>
    <w:p>
      <w:pPr>
        <w:autoSpaceDE w:val="0"/>
        <w:autoSpaceDN w:val="0"/>
        <w:adjustRightInd w:val="0"/>
        <w:spacing w:line="400" w:lineRule="exact"/>
        <w:rPr>
          <w:rFonts w:ascii="微软雅黑" w:hAnsi="微软雅黑" w:eastAsia="微软雅黑"/>
          <w:color w:val="auto"/>
          <w:sz w:val="24"/>
          <w:szCs w:val="24"/>
        </w:rPr>
      </w:pPr>
    </w:p>
    <w:p>
      <w:pPr>
        <w:autoSpaceDE w:val="0"/>
        <w:autoSpaceDN w:val="0"/>
        <w:adjustRightInd w:val="0"/>
        <w:spacing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欲了解更多成都市公立医院的讯息，请参考成都卫生监督信息网（</w:t>
      </w:r>
      <w:bookmarkStart w:id="18" w:name="_Hlk487025661"/>
      <w:r>
        <w:rPr>
          <w:rFonts w:ascii="微软雅黑" w:hAnsi="微软雅黑" w:eastAsia="微软雅黑"/>
          <w:color w:val="auto"/>
          <w:sz w:val="24"/>
          <w:szCs w:val="24"/>
        </w:rPr>
        <w:fldChar w:fldCharType="begin"/>
      </w:r>
      <w:r>
        <w:rPr>
          <w:rFonts w:ascii="微软雅黑" w:hAnsi="微软雅黑" w:eastAsia="微软雅黑"/>
          <w:color w:val="auto"/>
          <w:sz w:val="24"/>
          <w:szCs w:val="24"/>
        </w:rPr>
        <w:instrText xml:space="preserve"> HYPERLINK "http://www.cdswsjd.gov.cn" </w:instrText>
      </w:r>
      <w:r>
        <w:rPr>
          <w:rFonts w:ascii="微软雅黑" w:hAnsi="微软雅黑" w:eastAsia="微软雅黑"/>
          <w:color w:val="auto"/>
          <w:sz w:val="24"/>
          <w:szCs w:val="24"/>
        </w:rPr>
        <w:fldChar w:fldCharType="separate"/>
      </w:r>
      <w:r>
        <w:rPr>
          <w:rFonts w:ascii="微软雅黑" w:hAnsi="微软雅黑" w:eastAsia="微软雅黑"/>
          <w:color w:val="auto"/>
          <w:sz w:val="24"/>
          <w:szCs w:val="24"/>
        </w:rPr>
        <w:t>http://www.cdswsjd.gov.cn</w:t>
      </w:r>
      <w:r>
        <w:rPr>
          <w:rFonts w:ascii="微软雅黑" w:hAnsi="微软雅黑" w:eastAsia="微软雅黑"/>
          <w:color w:val="auto"/>
          <w:sz w:val="24"/>
          <w:szCs w:val="24"/>
        </w:rPr>
        <w:fldChar w:fldCharType="end"/>
      </w:r>
      <w:bookmarkEnd w:id="18"/>
      <w:r>
        <w:rPr>
          <w:rFonts w:hint="eastAsia" w:ascii="微软雅黑" w:hAnsi="微软雅黑" w:eastAsia="微软雅黑"/>
          <w:color w:val="auto"/>
          <w:sz w:val="24"/>
          <w:szCs w:val="24"/>
        </w:rPr>
        <w:t>）。</w:t>
      </w:r>
    </w:p>
    <w:p>
      <w:pPr>
        <w:autoSpaceDE w:val="0"/>
        <w:autoSpaceDN w:val="0"/>
        <w:adjustRightInd w:val="0"/>
        <w:spacing w:line="400" w:lineRule="exact"/>
        <w:jc w:val="left"/>
        <w:rPr>
          <w:rFonts w:ascii="微软雅黑" w:hAnsi="微软雅黑" w:eastAsia="微软雅黑"/>
          <w:color w:val="auto"/>
          <w:sz w:val="24"/>
          <w:szCs w:val="24"/>
          <w:lang w:eastAsia="zh-TW"/>
        </w:rPr>
      </w:pPr>
    </w:p>
    <w:p>
      <w:pPr>
        <w:autoSpaceDE w:val="0"/>
        <w:autoSpaceDN w:val="0"/>
        <w:adjustRightInd w:val="0"/>
        <w:spacing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另外，成都大部分公立医院均接受网上预约挂号、电话预约挂号等预约挂号方式。欲了解网上预约挂号的相关规定，请参考成都市预约挂号平台网站「健康成都」（</w:t>
      </w:r>
      <w:r>
        <w:rPr>
          <w:color w:val="auto"/>
        </w:rPr>
        <w:fldChar w:fldCharType="begin"/>
      </w:r>
      <w:r>
        <w:rPr>
          <w:color w:val="auto"/>
        </w:rPr>
        <w:instrText xml:space="preserve"> HYPERLINK "http://jk.chengdu.cn" </w:instrText>
      </w:r>
      <w:r>
        <w:rPr>
          <w:color w:val="auto"/>
        </w:rPr>
        <w:fldChar w:fldCharType="separate"/>
      </w:r>
      <w:r>
        <w:rPr>
          <w:rFonts w:ascii="微软雅黑" w:hAnsi="微软雅黑" w:eastAsia="微软雅黑"/>
          <w:color w:val="auto"/>
          <w:sz w:val="24"/>
          <w:szCs w:val="24"/>
        </w:rPr>
        <w:t>http://jk.chengdu.cn</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w:t>
      </w:r>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部分公立医院和私立医院联系方式</w:t>
      </w:r>
    </w:p>
    <w:p>
      <w:pPr>
        <w:pStyle w:val="26"/>
        <w:spacing w:before="312" w:beforeLines="100" w:after="312" w:afterLines="100" w:line="400" w:lineRule="exact"/>
        <w:rPr>
          <w:rFonts w:ascii="微软雅黑" w:hAnsi="微软雅黑" w:eastAsia="微软雅黑"/>
          <w:color w:val="auto"/>
        </w:rPr>
      </w:pPr>
      <w:r>
        <w:rPr>
          <w:rFonts w:hint="eastAsia" w:ascii="微软雅黑" w:hAnsi="微软雅黑" w:eastAsia="微软雅黑"/>
          <w:color w:val="auto"/>
          <w:kern w:val="2"/>
        </w:rPr>
        <w:t>下表所列私立和公立医院的资料主要来自不同网页，仅供读者参考。驻成都办对当中资料的准确性、完整性、内容和时效性不作任何明示的或暗示的保证，亦不承担任何因使用下表资料而造成的损失。您有义务自行核实所有信息的准确性、完整性、内容和时效性，并在有需要时就具体个案或事实情况寻求专业的意见。下表资料亦无意构成广告或业务招揽，驻成都办不为任何产品、服务或资料内容作宣传。有关医疗机构请参考</w:t>
      </w:r>
      <w:r>
        <w:rPr>
          <w:rFonts w:hint="eastAsia" w:ascii="微软雅黑" w:hAnsi="微软雅黑" w:eastAsia="微软雅黑"/>
          <w:color w:val="auto"/>
        </w:rPr>
        <w:t>成都卫生</w:t>
      </w:r>
      <w:r>
        <w:rPr>
          <w:rFonts w:hint="eastAsia" w:ascii="微软雅黑" w:hAnsi="微软雅黑" w:eastAsia="微软雅黑"/>
          <w:color w:val="auto"/>
        </w:rPr>
        <w:t>监督</w:t>
      </w:r>
      <w:r>
        <w:rPr>
          <w:rFonts w:hint="eastAsia" w:ascii="微软雅黑" w:hAnsi="微软雅黑" w:eastAsia="微软雅黑"/>
          <w:color w:val="auto"/>
        </w:rPr>
        <w:t>信息网（</w:t>
      </w:r>
      <w:r>
        <w:rPr>
          <w:color w:val="auto"/>
        </w:rPr>
        <w:fldChar w:fldCharType="begin"/>
      </w:r>
      <w:r>
        <w:rPr>
          <w:color w:val="auto"/>
        </w:rPr>
        <w:instrText xml:space="preserve"> HYPERLINK "http://www.cdswsjd.gov.cn" </w:instrText>
      </w:r>
      <w:r>
        <w:rPr>
          <w:color w:val="auto"/>
        </w:rPr>
        <w:fldChar w:fldCharType="separate"/>
      </w:r>
      <w:r>
        <w:rPr>
          <w:rFonts w:ascii="微软雅黑" w:hAnsi="微软雅黑" w:eastAsia="微软雅黑"/>
          <w:color w:val="auto"/>
        </w:rPr>
        <w:t>http://www.cdswsjd.gov.cn</w:t>
      </w:r>
      <w:r>
        <w:rPr>
          <w:rFonts w:ascii="微软雅黑" w:hAnsi="微软雅黑" w:eastAsia="微软雅黑"/>
          <w:color w:val="auto"/>
        </w:rPr>
        <w:fldChar w:fldCharType="end"/>
      </w:r>
      <w:r>
        <w:rPr>
          <w:rFonts w:hint="eastAsia" w:ascii="微软雅黑" w:hAnsi="微软雅黑" w:eastAsia="微软雅黑"/>
          <w:color w:val="auto"/>
        </w:rPr>
        <w:t>）。</w:t>
      </w:r>
    </w:p>
    <w:tbl>
      <w:tblPr>
        <w:tblStyle w:val="25"/>
        <w:tblW w:w="92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7"/>
        <w:gridCol w:w="2268"/>
        <w:gridCol w:w="3547"/>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187" w:type="dxa"/>
            <w:shd w:val="clear" w:color="auto" w:fill="A6C9E8"/>
            <w:vAlign w:val="center"/>
          </w:tcPr>
          <w:p>
            <w:pPr>
              <w:pStyle w:val="26"/>
              <w:spacing w:line="400" w:lineRule="exact"/>
              <w:jc w:val="center"/>
              <w:rPr>
                <w:rFonts w:ascii="微软雅黑" w:hAnsi="微软雅黑" w:eastAsia="微软雅黑" w:cs="......"/>
                <w:b/>
                <w:color w:val="auto"/>
                <w:lang w:eastAsia="zh-TW"/>
              </w:rPr>
            </w:pPr>
            <w:r>
              <w:rPr>
                <w:rFonts w:hint="eastAsia" w:ascii="微软雅黑" w:hAnsi="微软雅黑" w:eastAsia="微软雅黑" w:cs="......"/>
                <w:b/>
                <w:color w:val="auto"/>
              </w:rPr>
              <w:t>名</w:t>
            </w:r>
            <w:r>
              <w:rPr>
                <w:rFonts w:hint="cs" w:ascii="微软雅黑" w:hAnsi="微软雅黑" w:eastAsia="微软雅黑" w:cs="......"/>
                <w:b/>
                <w:color w:val="auto"/>
              </w:rPr>
              <w:t>称</w:t>
            </w:r>
          </w:p>
        </w:tc>
        <w:tc>
          <w:tcPr>
            <w:tcW w:w="2268" w:type="dxa"/>
            <w:shd w:val="clear" w:color="auto" w:fill="A6C9E8"/>
            <w:vAlign w:val="center"/>
          </w:tcPr>
          <w:p>
            <w:pPr>
              <w:pStyle w:val="26"/>
              <w:spacing w:line="400" w:lineRule="exact"/>
              <w:jc w:val="center"/>
              <w:rPr>
                <w:rFonts w:ascii="微软雅黑" w:hAnsi="微软雅黑" w:eastAsia="微软雅黑" w:cs="......"/>
                <w:b/>
                <w:color w:val="auto"/>
                <w:lang w:eastAsia="zh-TW"/>
              </w:rPr>
            </w:pPr>
            <w:r>
              <w:rPr>
                <w:rFonts w:hint="eastAsia" w:ascii="微软雅黑" w:hAnsi="微软雅黑" w:eastAsia="微软雅黑" w:cs="......"/>
                <w:b/>
                <w:color w:val="auto"/>
              </w:rPr>
              <w:t>地址</w:t>
            </w:r>
          </w:p>
        </w:tc>
        <w:tc>
          <w:tcPr>
            <w:tcW w:w="3547" w:type="dxa"/>
            <w:shd w:val="clear" w:color="auto" w:fill="A6C9E8"/>
            <w:vAlign w:val="center"/>
          </w:tcPr>
          <w:p>
            <w:pPr>
              <w:pStyle w:val="26"/>
              <w:spacing w:line="400" w:lineRule="exact"/>
              <w:jc w:val="center"/>
              <w:rPr>
                <w:rFonts w:ascii="微软雅黑" w:hAnsi="微软雅黑" w:eastAsia="微软雅黑" w:cs="......"/>
                <w:b/>
                <w:color w:val="auto"/>
              </w:rPr>
            </w:pPr>
            <w:r>
              <w:rPr>
                <w:rFonts w:hint="cs" w:ascii="微软雅黑" w:hAnsi="微软雅黑" w:eastAsia="微软雅黑" w:cs="......"/>
                <w:b/>
                <w:color w:val="auto"/>
              </w:rPr>
              <w:t>联</w:t>
            </w:r>
            <w:r>
              <w:rPr>
                <w:rFonts w:hint="eastAsia" w:ascii="微软雅黑" w:hAnsi="微软雅黑" w:eastAsia="微软雅黑" w:cs="......"/>
                <w:b/>
                <w:color w:val="auto"/>
              </w:rPr>
              <w:t>系方式</w:t>
            </w:r>
          </w:p>
        </w:tc>
        <w:tc>
          <w:tcPr>
            <w:tcW w:w="1276" w:type="dxa"/>
            <w:shd w:val="clear" w:color="auto" w:fill="A6C9E8"/>
            <w:vAlign w:val="center"/>
          </w:tcPr>
          <w:p>
            <w:pPr>
              <w:pStyle w:val="26"/>
              <w:spacing w:line="400" w:lineRule="exact"/>
              <w:jc w:val="center"/>
              <w:rPr>
                <w:rFonts w:ascii="微软雅黑" w:hAnsi="微软雅黑" w:eastAsia="微软雅黑" w:cs="......"/>
                <w:b/>
                <w:color w:val="auto"/>
                <w:sz w:val="22"/>
              </w:rPr>
            </w:pPr>
            <w:r>
              <w:rPr>
                <w:rFonts w:hint="cs" w:ascii="微软雅黑" w:hAnsi="微软雅黑" w:eastAsia="微软雅黑" w:cs="......"/>
                <w:b/>
                <w:color w:val="auto"/>
              </w:rPr>
              <w:t>语</w:t>
            </w:r>
            <w:r>
              <w:rPr>
                <w:rFonts w:hint="eastAsia" w:ascii="微软雅黑" w:hAnsi="微软雅黑" w:eastAsia="微软雅黑" w:cs="......"/>
                <w:b/>
                <w:color w:val="auto"/>
              </w:rPr>
              <w:t>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278" w:type="dxa"/>
            <w:gridSpan w:val="4"/>
            <w:shd w:val="clear" w:color="auto" w:fill="A6C9E8"/>
            <w:vAlign w:val="center"/>
          </w:tcPr>
          <w:p>
            <w:pPr>
              <w:pStyle w:val="26"/>
              <w:spacing w:line="400" w:lineRule="exact"/>
              <w:jc w:val="center"/>
              <w:rPr>
                <w:rFonts w:ascii="微软雅黑" w:hAnsi="微软雅黑" w:eastAsia="微软雅黑" w:cs="......"/>
                <w:b/>
                <w:color w:val="auto"/>
                <w:lang w:eastAsia="zh-TW"/>
              </w:rPr>
            </w:pPr>
            <w:r>
              <w:rPr>
                <w:rFonts w:hint="eastAsia" w:ascii="微软雅黑" w:hAnsi="微软雅黑" w:eastAsia="微软雅黑" w:cs="......"/>
                <w:b/>
                <w:color w:val="auto"/>
              </w:rPr>
              <w:t>公立</w:t>
            </w:r>
            <w:r>
              <w:rPr>
                <w:rFonts w:ascii="微软雅黑" w:hAnsi="微软雅黑" w:eastAsia="微软雅黑" w:cs="......"/>
                <w:b/>
                <w:color w:val="auto"/>
              </w:rPr>
              <w:t xml:space="preserve"> - </w:t>
            </w:r>
            <w:r>
              <w:rPr>
                <w:rFonts w:hint="cs" w:ascii="微软雅黑" w:hAnsi="微软雅黑" w:eastAsia="微软雅黑" w:cs="......"/>
                <w:b/>
                <w:color w:val="auto"/>
              </w:rPr>
              <w:t>综</w:t>
            </w:r>
            <w:r>
              <w:rPr>
                <w:rFonts w:hint="eastAsia" w:ascii="微软雅黑" w:hAnsi="微软雅黑" w:eastAsia="微软雅黑" w:cs="......"/>
                <w:b/>
                <w:color w:val="auto"/>
              </w:rPr>
              <w:t>合性</w:t>
            </w:r>
            <w:r>
              <w:rPr>
                <w:rFonts w:hint="cs" w:ascii="微软雅黑" w:hAnsi="微软雅黑" w:eastAsia="微软雅黑" w:cs="......"/>
                <w:b/>
                <w:color w:val="auto"/>
              </w:rPr>
              <w:t>医</w:t>
            </w:r>
            <w:r>
              <w:rPr>
                <w:rFonts w:hint="eastAsia" w:ascii="微软雅黑" w:hAnsi="微软雅黑" w:eastAsia="微软雅黑" w:cs="......"/>
                <w:b/>
                <w:color w:val="auto"/>
              </w:rPr>
              <w:t>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4" w:hRule="atLeast"/>
          <w:jc w:val="center"/>
        </w:trPr>
        <w:tc>
          <w:tcPr>
            <w:tcW w:w="2187" w:type="dxa"/>
          </w:tcPr>
          <w:p>
            <w:pPr>
              <w:spacing w:line="36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四川大学华西临床医学院</w:t>
            </w:r>
            <w:r>
              <w:rPr>
                <w:rFonts w:ascii="微软雅黑" w:hAnsi="微软雅黑" w:eastAsia="微软雅黑"/>
                <w:color w:val="auto"/>
                <w:sz w:val="24"/>
                <w:szCs w:val="24"/>
              </w:rPr>
              <w:t>(</w:t>
            </w:r>
            <w:r>
              <w:rPr>
                <w:rFonts w:hint="eastAsia" w:ascii="微软雅黑" w:hAnsi="微软雅黑" w:eastAsia="微软雅黑"/>
                <w:color w:val="auto"/>
                <w:sz w:val="24"/>
                <w:szCs w:val="24"/>
              </w:rPr>
              <w:t>华西医院</w:t>
            </w:r>
            <w:r>
              <w:rPr>
                <w:rFonts w:ascii="微软雅黑" w:hAnsi="微软雅黑" w:eastAsia="微软雅黑"/>
                <w:color w:val="auto"/>
                <w:sz w:val="24"/>
                <w:szCs w:val="24"/>
              </w:rPr>
              <w:t>)</w:t>
            </w:r>
          </w:p>
          <w:p>
            <w:pPr>
              <w:spacing w:line="360" w:lineRule="exact"/>
              <w:rPr>
                <w:rFonts w:ascii="微软雅黑" w:hAnsi="微软雅黑" w:eastAsia="微软雅黑"/>
                <w:color w:val="auto"/>
                <w:sz w:val="24"/>
                <w:szCs w:val="24"/>
              </w:rPr>
            </w:pPr>
            <w:r>
              <w:rPr>
                <w:rFonts w:hint="eastAsia" w:ascii="微软雅黑" w:hAnsi="微软雅黑" w:eastAsia="微软雅黑"/>
                <w:color w:val="auto"/>
                <w:sz w:val="24"/>
                <w:szCs w:val="24"/>
              </w:rPr>
              <w:t>（全科）</w:t>
            </w:r>
          </w:p>
        </w:tc>
        <w:tc>
          <w:tcPr>
            <w:tcW w:w="2268" w:type="dxa"/>
          </w:tcPr>
          <w:p>
            <w:pPr>
              <w:spacing w:line="36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成都市国学巷</w:t>
            </w:r>
            <w:r>
              <w:rPr>
                <w:rFonts w:ascii="微软雅黑" w:hAnsi="微软雅黑" w:eastAsia="微软雅黑"/>
                <w:color w:val="auto"/>
                <w:sz w:val="24"/>
                <w:szCs w:val="24"/>
              </w:rPr>
              <w:t>37</w:t>
            </w:r>
            <w:r>
              <w:rPr>
                <w:rFonts w:hint="eastAsia" w:ascii="微软雅黑" w:hAnsi="微软雅黑" w:eastAsia="微软雅黑"/>
                <w:color w:val="auto"/>
                <w:sz w:val="24"/>
                <w:szCs w:val="24"/>
              </w:rPr>
              <w:t>号</w:t>
            </w:r>
          </w:p>
        </w:tc>
        <w:tc>
          <w:tcPr>
            <w:tcW w:w="3547" w:type="dxa"/>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咨询热线：</w:t>
            </w:r>
            <w:r>
              <w:rPr>
                <w:rFonts w:ascii="微软雅黑" w:hAnsi="微软雅黑" w:eastAsia="微软雅黑"/>
                <w:color w:val="auto"/>
                <w:sz w:val="24"/>
                <w:szCs w:val="24"/>
              </w:rPr>
              <w:t>(028)85422114</w:t>
            </w: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服务热线：</w:t>
            </w:r>
            <w:r>
              <w:rPr>
                <w:rFonts w:ascii="微软雅黑" w:hAnsi="微软雅黑" w:eastAsia="微软雅黑"/>
                <w:color w:val="auto"/>
                <w:sz w:val="24"/>
                <w:szCs w:val="24"/>
              </w:rPr>
              <w:t>(028)82009999</w:t>
            </w:r>
          </w:p>
          <w:p>
            <w:pPr>
              <w:spacing w:line="400" w:lineRule="exact"/>
              <w:rPr>
                <w:rFonts w:ascii="微软雅黑" w:hAnsi="微软雅黑" w:eastAsia="微软雅黑"/>
                <w:color w:val="auto"/>
                <w:sz w:val="24"/>
                <w:szCs w:val="24"/>
              </w:rPr>
            </w:pPr>
            <w:r>
              <w:rPr>
                <w:rFonts w:ascii="微软雅黑" w:hAnsi="微软雅黑" w:eastAsia="微软雅黑"/>
                <w:color w:val="auto"/>
                <w:sz w:val="24"/>
                <w:szCs w:val="24"/>
              </w:rPr>
              <w:t>(</w:t>
            </w:r>
            <w:r>
              <w:rPr>
                <w:rFonts w:hint="eastAsia" w:ascii="微软雅黑" w:hAnsi="微软雅黑" w:eastAsia="微软雅黑"/>
                <w:color w:val="auto"/>
                <w:sz w:val="24"/>
                <w:szCs w:val="24"/>
              </w:rPr>
              <w:t>金卡国际医疗中心</w:t>
            </w:r>
            <w:r>
              <w:rPr>
                <w:rFonts w:ascii="微软雅黑" w:hAnsi="微软雅黑" w:eastAsia="微软雅黑"/>
                <w:color w:val="auto"/>
                <w:sz w:val="24"/>
                <w:szCs w:val="24"/>
              </w:rPr>
              <w:t>)</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"http://www.cd120.com/" </w:instrText>
            </w:r>
            <w:r>
              <w:rPr>
                <w:color w:val="auto"/>
              </w:rPr>
              <w:fldChar w:fldCharType="separate"/>
            </w:r>
            <w:r>
              <w:rPr>
                <w:rFonts w:ascii="微软雅黑" w:hAnsi="微软雅黑" w:eastAsia="微软雅黑"/>
                <w:color w:val="auto"/>
                <w:sz w:val="24"/>
                <w:szCs w:val="24"/>
              </w:rPr>
              <w:t>www.cd120.com</w:t>
            </w:r>
            <w:r>
              <w:rPr>
                <w:rFonts w:ascii="微软雅黑" w:hAnsi="微软雅黑" w:eastAsia="微软雅黑"/>
                <w:color w:val="auto"/>
                <w:sz w:val="24"/>
                <w:szCs w:val="24"/>
              </w:rPr>
              <w:fldChar w:fldCharType="end"/>
            </w:r>
          </w:p>
        </w:tc>
        <w:tc>
          <w:tcPr>
            <w:tcW w:w="1276" w:type="dxa"/>
          </w:tcPr>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普通话</w:t>
            </w:r>
          </w:p>
          <w:p>
            <w:pPr>
              <w:pStyle w:val="26"/>
              <w:spacing w:line="360" w:lineRule="exact"/>
              <w:jc w:val="distribute"/>
              <w:rPr>
                <w:rFonts w:ascii="微软雅黑" w:hAnsi="微软雅黑" w:eastAsia="微软雅黑" w:cs="Times New Roman"/>
                <w:color w:val="auto"/>
              </w:rPr>
            </w:pPr>
            <w:r>
              <w:rPr>
                <w:rFonts w:hint="eastAsia" w:ascii="微软雅黑" w:hAnsi="微软雅黑" w:eastAsia="微软雅黑" w:cs="Times New Roman"/>
                <w:color w:val="auto"/>
                <w:kern w:val="2"/>
              </w:rPr>
              <w:t>英语等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4" w:hRule="atLeast"/>
          <w:jc w:val="center"/>
        </w:trPr>
        <w:tc>
          <w:tcPr>
            <w:tcW w:w="2187"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四川省人民医院</w:t>
            </w: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（全科）</w:t>
            </w:r>
          </w:p>
        </w:tc>
        <w:tc>
          <w:tcPr>
            <w:tcW w:w="2268"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成都市一环路西二段</w:t>
            </w:r>
            <w:r>
              <w:rPr>
                <w:rFonts w:ascii="微软雅黑" w:hAnsi="微软雅黑" w:eastAsia="微软雅黑"/>
                <w:color w:val="auto"/>
                <w:sz w:val="24"/>
                <w:szCs w:val="24"/>
              </w:rPr>
              <w:t>32</w:t>
            </w:r>
            <w:r>
              <w:rPr>
                <w:rFonts w:hint="eastAsia" w:ascii="微软雅黑" w:hAnsi="微软雅黑" w:eastAsia="微软雅黑"/>
                <w:color w:val="auto"/>
                <w:sz w:val="24"/>
                <w:szCs w:val="24"/>
              </w:rPr>
              <w:t>号</w:t>
            </w:r>
            <w:r>
              <w:rPr>
                <w:rFonts w:ascii="微软雅黑" w:hAnsi="微软雅黑" w:eastAsia="微软雅黑"/>
                <w:color w:val="auto"/>
                <w:sz w:val="24"/>
                <w:szCs w:val="24"/>
              </w:rPr>
              <w:t>(</w:t>
            </w:r>
            <w:r>
              <w:rPr>
                <w:rFonts w:hint="eastAsia" w:ascii="微软雅黑" w:hAnsi="微软雅黑" w:eastAsia="微软雅黑"/>
                <w:color w:val="auto"/>
                <w:sz w:val="24"/>
                <w:szCs w:val="24"/>
              </w:rPr>
              <w:t>青羊宫斜对面</w:t>
            </w:r>
            <w:r>
              <w:rPr>
                <w:rFonts w:ascii="微软雅黑" w:hAnsi="微软雅黑" w:eastAsia="微软雅黑"/>
                <w:color w:val="auto"/>
                <w:sz w:val="24"/>
                <w:szCs w:val="24"/>
              </w:rPr>
              <w:t>)</w:t>
            </w:r>
          </w:p>
        </w:tc>
        <w:tc>
          <w:tcPr>
            <w:tcW w:w="3547" w:type="dxa"/>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门诊热线：</w:t>
            </w:r>
            <w:r>
              <w:rPr>
                <w:rFonts w:ascii="微软雅黑" w:hAnsi="微软雅黑" w:eastAsia="微软雅黑"/>
                <w:color w:val="auto"/>
                <w:sz w:val="24"/>
                <w:szCs w:val="24"/>
              </w:rPr>
              <w:t>(028)87394243</w:t>
            </w:r>
          </w:p>
          <w:p>
            <w:pPr>
              <w:spacing w:line="400" w:lineRule="exact"/>
              <w:ind w:firstLine="1200" w:firstLineChars="500"/>
              <w:rPr>
                <w:rFonts w:ascii="微软雅黑" w:hAnsi="微软雅黑" w:eastAsia="微软雅黑"/>
                <w:color w:val="auto"/>
                <w:sz w:val="24"/>
                <w:szCs w:val="24"/>
              </w:rPr>
            </w:pPr>
            <w:r>
              <w:rPr>
                <w:rFonts w:ascii="微软雅黑" w:hAnsi="微软雅黑" w:eastAsia="微软雅黑"/>
                <w:color w:val="auto"/>
                <w:sz w:val="24"/>
                <w:szCs w:val="24"/>
              </w:rPr>
              <w:t>(028)87393928</w:t>
            </w:r>
          </w:p>
          <w:p>
            <w:pPr>
              <w:spacing w:line="400" w:lineRule="exact"/>
              <w:ind w:firstLine="1200" w:firstLineChars="500"/>
              <w:rPr>
                <w:rFonts w:ascii="微软雅黑" w:hAnsi="微软雅黑" w:eastAsia="微软雅黑"/>
                <w:color w:val="auto"/>
                <w:sz w:val="24"/>
                <w:szCs w:val="24"/>
              </w:rPr>
            </w:pPr>
            <w:r>
              <w:rPr>
                <w:rFonts w:ascii="微软雅黑" w:hAnsi="微软雅黑" w:eastAsia="微软雅黑"/>
                <w:color w:val="auto"/>
                <w:sz w:val="24"/>
                <w:szCs w:val="24"/>
              </w:rPr>
              <w:t>(028)87393927</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"http://www.samsph.com" </w:instrText>
            </w:r>
            <w:r>
              <w:rPr>
                <w:color w:val="auto"/>
              </w:rPr>
              <w:fldChar w:fldCharType="separate"/>
            </w:r>
            <w:r>
              <w:rPr>
                <w:rFonts w:ascii="微软雅黑" w:hAnsi="微软雅黑" w:eastAsia="微软雅黑"/>
                <w:color w:val="auto"/>
                <w:sz w:val="24"/>
                <w:szCs w:val="24"/>
              </w:rPr>
              <w:t>www.samsph.com</w:t>
            </w:r>
            <w:r>
              <w:rPr>
                <w:rFonts w:ascii="微软雅黑" w:hAnsi="微软雅黑" w:eastAsia="微软雅黑"/>
                <w:color w:val="auto"/>
                <w:sz w:val="24"/>
                <w:szCs w:val="24"/>
              </w:rPr>
              <w:fldChar w:fldCharType="end"/>
            </w:r>
          </w:p>
        </w:tc>
        <w:tc>
          <w:tcPr>
            <w:tcW w:w="1276" w:type="dxa"/>
          </w:tcPr>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普</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通</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6" w:hRule="atLeast"/>
          <w:jc w:val="center"/>
        </w:trPr>
        <w:tc>
          <w:tcPr>
            <w:tcW w:w="2187"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成都市第二人民医院</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（全科）</w:t>
            </w:r>
          </w:p>
        </w:tc>
        <w:tc>
          <w:tcPr>
            <w:tcW w:w="2268" w:type="dxa"/>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成都市庆云南街</w:t>
            </w:r>
            <w:r>
              <w:rPr>
                <w:rFonts w:ascii="微软雅黑" w:hAnsi="微软雅黑" w:eastAsia="微软雅黑"/>
                <w:color w:val="auto"/>
                <w:sz w:val="24"/>
                <w:szCs w:val="24"/>
              </w:rPr>
              <w:t>10</w:t>
            </w:r>
            <w:r>
              <w:rPr>
                <w:rFonts w:hint="eastAsia" w:ascii="微软雅黑" w:hAnsi="微软雅黑" w:eastAsia="微软雅黑"/>
                <w:color w:val="auto"/>
                <w:sz w:val="24"/>
                <w:szCs w:val="24"/>
              </w:rPr>
              <w:t>号</w:t>
            </w:r>
          </w:p>
        </w:tc>
        <w:tc>
          <w:tcPr>
            <w:tcW w:w="3547" w:type="dxa"/>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预约挂号：</w:t>
            </w:r>
            <w:r>
              <w:rPr>
                <w:rFonts w:ascii="微软雅黑" w:hAnsi="微软雅黑" w:eastAsia="微软雅黑"/>
                <w:color w:val="auto"/>
                <w:sz w:val="24"/>
                <w:szCs w:val="24"/>
              </w:rPr>
              <w:t>(028)65108666</w:t>
            </w: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总服务台：</w:t>
            </w:r>
            <w:r>
              <w:rPr>
                <w:rFonts w:ascii="微软雅黑" w:hAnsi="微软雅黑" w:eastAsia="微软雅黑"/>
                <w:color w:val="auto"/>
                <w:sz w:val="24"/>
                <w:szCs w:val="24"/>
              </w:rPr>
              <w:t>(028)65108010</w:t>
            </w: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急诊科：</w:t>
            </w:r>
            <w:r>
              <w:rPr>
                <w:rFonts w:ascii="微软雅黑" w:hAnsi="微软雅黑" w:eastAsia="微软雅黑"/>
                <w:color w:val="auto"/>
                <w:sz w:val="24"/>
                <w:szCs w:val="24"/>
              </w:rPr>
              <w:t>(028)86740843</w:t>
            </w:r>
          </w:p>
          <w:p>
            <w:pPr>
              <w:spacing w:line="400" w:lineRule="exact"/>
              <w:rPr>
                <w:rFonts w:ascii="微软雅黑" w:hAnsi="微软雅黑" w:eastAsia="微软雅黑"/>
                <w:color w:val="auto"/>
                <w:sz w:val="24"/>
                <w:szCs w:val="24"/>
              </w:rPr>
            </w:pPr>
            <w:r>
              <w:rPr>
                <w:rFonts w:ascii="微软雅黑" w:hAnsi="微软雅黑" w:eastAsia="微软雅黑"/>
                <w:color w:val="auto"/>
                <w:sz w:val="24"/>
                <w:szCs w:val="24"/>
              </w:rPr>
              <w:t xml:space="preserve">        (028)65108120</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"http://www.cd2120.com/" </w:instrText>
            </w:r>
            <w:r>
              <w:rPr>
                <w:color w:val="auto"/>
              </w:rPr>
              <w:fldChar w:fldCharType="separate"/>
            </w:r>
            <w:r>
              <w:rPr>
                <w:rFonts w:ascii="微软雅黑" w:hAnsi="微软雅黑" w:eastAsia="微软雅黑"/>
                <w:color w:val="auto"/>
                <w:sz w:val="24"/>
                <w:szCs w:val="24"/>
              </w:rPr>
              <w:t>www.cd2120.com</w:t>
            </w:r>
            <w:r>
              <w:rPr>
                <w:rFonts w:ascii="微软雅黑" w:hAnsi="微软雅黑" w:eastAsia="微软雅黑"/>
                <w:color w:val="auto"/>
                <w:sz w:val="24"/>
                <w:szCs w:val="24"/>
              </w:rPr>
              <w:fldChar w:fldCharType="end"/>
            </w:r>
          </w:p>
        </w:tc>
        <w:tc>
          <w:tcPr>
            <w:tcW w:w="1276" w:type="dxa"/>
          </w:tcPr>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普</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通</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jc w:val="center"/>
        </w:trPr>
        <w:tc>
          <w:tcPr>
            <w:tcW w:w="2187"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成都市第三人民医院</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（全科）</w:t>
            </w:r>
          </w:p>
        </w:tc>
        <w:tc>
          <w:tcPr>
            <w:tcW w:w="2268" w:type="dxa"/>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成都市青龙街</w:t>
            </w:r>
            <w:r>
              <w:rPr>
                <w:rFonts w:ascii="微软雅黑" w:hAnsi="微软雅黑" w:eastAsia="微软雅黑"/>
                <w:color w:val="auto"/>
                <w:sz w:val="24"/>
                <w:szCs w:val="24"/>
              </w:rPr>
              <w:t>82</w:t>
            </w:r>
            <w:r>
              <w:rPr>
                <w:rFonts w:hint="eastAsia" w:ascii="微软雅黑" w:hAnsi="微软雅黑" w:eastAsia="微软雅黑"/>
                <w:color w:val="auto"/>
                <w:sz w:val="24"/>
                <w:szCs w:val="24"/>
              </w:rPr>
              <w:t>号</w:t>
            </w:r>
          </w:p>
        </w:tc>
        <w:tc>
          <w:tcPr>
            <w:tcW w:w="3547" w:type="dxa"/>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挂号：</w:t>
            </w:r>
            <w:r>
              <w:rPr>
                <w:rFonts w:ascii="微软雅黑" w:hAnsi="微软雅黑" w:eastAsia="微软雅黑"/>
                <w:color w:val="auto"/>
                <w:sz w:val="24"/>
                <w:szCs w:val="24"/>
              </w:rPr>
              <w:t>(028)61312288</w:t>
            </w: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总机：</w:t>
            </w:r>
            <w:r>
              <w:rPr>
                <w:rFonts w:ascii="微软雅黑" w:hAnsi="微软雅黑" w:eastAsia="微软雅黑"/>
                <w:color w:val="auto"/>
                <w:sz w:val="24"/>
                <w:szCs w:val="24"/>
              </w:rPr>
              <w:t>(028)86649831</w:t>
            </w: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急诊：</w:t>
            </w:r>
            <w:r>
              <w:rPr>
                <w:rFonts w:ascii="微软雅黑" w:hAnsi="微软雅黑" w:eastAsia="微软雅黑"/>
                <w:color w:val="auto"/>
                <w:sz w:val="24"/>
                <w:szCs w:val="24"/>
              </w:rPr>
              <w:t>(028)86638387</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"http://www.cd3120.com/" </w:instrText>
            </w:r>
            <w:r>
              <w:rPr>
                <w:color w:val="auto"/>
              </w:rPr>
              <w:fldChar w:fldCharType="separate"/>
            </w:r>
            <w:r>
              <w:rPr>
                <w:rFonts w:ascii="微软雅黑" w:hAnsi="微软雅黑" w:eastAsia="微软雅黑"/>
                <w:color w:val="auto"/>
                <w:sz w:val="24"/>
                <w:szCs w:val="24"/>
              </w:rPr>
              <w:t>www.cd3120.com</w:t>
            </w:r>
            <w:r>
              <w:rPr>
                <w:rFonts w:ascii="微软雅黑" w:hAnsi="微软雅黑" w:eastAsia="微软雅黑"/>
                <w:color w:val="auto"/>
                <w:sz w:val="24"/>
                <w:szCs w:val="24"/>
              </w:rPr>
              <w:fldChar w:fldCharType="end"/>
            </w:r>
          </w:p>
        </w:tc>
        <w:tc>
          <w:tcPr>
            <w:tcW w:w="1276" w:type="dxa"/>
          </w:tcPr>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普通话</w:t>
            </w:r>
          </w:p>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英语</w:t>
            </w:r>
          </w:p>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法语</w:t>
            </w:r>
          </w:p>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日语</w:t>
            </w:r>
          </w:p>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葡萄牙语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2187"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成都市第五人民医院</w:t>
            </w: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（全科）</w:t>
            </w:r>
          </w:p>
        </w:tc>
        <w:tc>
          <w:tcPr>
            <w:tcW w:w="2268"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成都市温江区麻市街</w:t>
            </w:r>
            <w:r>
              <w:rPr>
                <w:rFonts w:ascii="微软雅黑" w:hAnsi="微软雅黑" w:eastAsia="微软雅黑"/>
                <w:color w:val="auto"/>
                <w:sz w:val="24"/>
                <w:szCs w:val="24"/>
              </w:rPr>
              <w:t>33</w:t>
            </w:r>
            <w:r>
              <w:rPr>
                <w:rFonts w:hint="eastAsia" w:ascii="微软雅黑" w:hAnsi="微软雅黑" w:eastAsia="微软雅黑"/>
                <w:color w:val="auto"/>
                <w:sz w:val="24"/>
                <w:szCs w:val="24"/>
              </w:rPr>
              <w:t>号</w:t>
            </w:r>
          </w:p>
        </w:tc>
        <w:tc>
          <w:tcPr>
            <w:tcW w:w="3547" w:type="dxa"/>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咨询热线：</w:t>
            </w:r>
            <w:r>
              <w:rPr>
                <w:rFonts w:ascii="微软雅黑" w:hAnsi="微软雅黑" w:eastAsia="微软雅黑"/>
                <w:color w:val="auto"/>
                <w:sz w:val="24"/>
                <w:szCs w:val="24"/>
              </w:rPr>
              <w:t>(028)82724342</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"http://www.cd5120.com/" </w:instrText>
            </w:r>
            <w:r>
              <w:rPr>
                <w:color w:val="auto"/>
              </w:rPr>
              <w:fldChar w:fldCharType="separate"/>
            </w:r>
            <w:r>
              <w:rPr>
                <w:rFonts w:ascii="微软雅黑" w:hAnsi="微软雅黑" w:eastAsia="微软雅黑"/>
                <w:color w:val="auto"/>
                <w:sz w:val="24"/>
                <w:szCs w:val="24"/>
              </w:rPr>
              <w:t>www.cd5120.com</w:t>
            </w:r>
            <w:r>
              <w:rPr>
                <w:rFonts w:ascii="微软雅黑" w:hAnsi="微软雅黑" w:eastAsia="微软雅黑"/>
                <w:color w:val="auto"/>
                <w:sz w:val="24"/>
                <w:szCs w:val="24"/>
              </w:rPr>
              <w:fldChar w:fldCharType="end"/>
            </w:r>
          </w:p>
        </w:tc>
        <w:tc>
          <w:tcPr>
            <w:tcW w:w="1276" w:type="dxa"/>
          </w:tcPr>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普</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通</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0" w:hRule="atLeast"/>
          <w:jc w:val="center"/>
        </w:trPr>
        <w:tc>
          <w:tcPr>
            <w:tcW w:w="2187"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成都大学附属医院</w:t>
            </w:r>
            <w:r>
              <w:rPr>
                <w:rFonts w:ascii="微软雅黑" w:hAnsi="微软雅黑" w:eastAsia="微软雅黑"/>
                <w:color w:val="auto"/>
                <w:sz w:val="24"/>
                <w:szCs w:val="24"/>
              </w:rPr>
              <w:t>(</w:t>
            </w:r>
            <w:r>
              <w:rPr>
                <w:rFonts w:hint="eastAsia" w:ascii="微软雅黑" w:hAnsi="微软雅黑" w:eastAsia="微软雅黑"/>
                <w:color w:val="auto"/>
                <w:sz w:val="24"/>
                <w:szCs w:val="24"/>
              </w:rPr>
              <w:t>成都铁路中心医院</w:t>
            </w:r>
            <w:r>
              <w:rPr>
                <w:rFonts w:ascii="微软雅黑" w:hAnsi="微软雅黑" w:eastAsia="微软雅黑"/>
                <w:color w:val="auto"/>
                <w:sz w:val="24"/>
                <w:szCs w:val="24"/>
              </w:rPr>
              <w:t>)</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（全科）</w:t>
            </w:r>
          </w:p>
        </w:tc>
        <w:tc>
          <w:tcPr>
            <w:tcW w:w="2268"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成都市二环路北二段</w:t>
            </w:r>
            <w:r>
              <w:rPr>
                <w:rFonts w:ascii="微软雅黑" w:hAnsi="微软雅黑" w:eastAsia="微软雅黑"/>
                <w:color w:val="auto"/>
                <w:sz w:val="24"/>
                <w:szCs w:val="24"/>
              </w:rPr>
              <w:t>82</w:t>
            </w:r>
            <w:r>
              <w:rPr>
                <w:rFonts w:hint="eastAsia" w:ascii="微软雅黑" w:hAnsi="微软雅黑" w:eastAsia="微软雅黑"/>
                <w:color w:val="auto"/>
                <w:sz w:val="24"/>
                <w:szCs w:val="24"/>
              </w:rPr>
              <w:t>号</w:t>
            </w:r>
          </w:p>
        </w:tc>
        <w:tc>
          <w:tcPr>
            <w:tcW w:w="3547" w:type="dxa"/>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咨询热线：</w:t>
            </w:r>
            <w:r>
              <w:rPr>
                <w:rFonts w:ascii="微软雅黑" w:hAnsi="微软雅黑" w:eastAsia="微软雅黑"/>
                <w:color w:val="auto"/>
                <w:sz w:val="24"/>
                <w:szCs w:val="24"/>
              </w:rPr>
              <w:t>(028)83186616</w:t>
            </w:r>
          </w:p>
          <w:p>
            <w:pPr>
              <w:spacing w:line="400" w:lineRule="exact"/>
              <w:ind w:firstLine="1200" w:firstLineChars="500"/>
              <w:rPr>
                <w:rFonts w:ascii="微软雅黑" w:hAnsi="微软雅黑" w:eastAsia="微软雅黑"/>
                <w:color w:val="auto"/>
                <w:sz w:val="24"/>
                <w:szCs w:val="24"/>
              </w:rPr>
            </w:pPr>
            <w:r>
              <w:rPr>
                <w:rFonts w:ascii="微软雅黑" w:hAnsi="微软雅黑" w:eastAsia="微软雅黑"/>
                <w:color w:val="auto"/>
                <w:sz w:val="24"/>
                <w:szCs w:val="24"/>
              </w:rPr>
              <w:t>(028)86432457</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"http://www.cdfy120.com/" </w:instrText>
            </w:r>
            <w:r>
              <w:rPr>
                <w:color w:val="auto"/>
              </w:rPr>
              <w:fldChar w:fldCharType="separate"/>
            </w:r>
            <w:r>
              <w:rPr>
                <w:rFonts w:ascii="微软雅黑" w:hAnsi="微软雅黑" w:eastAsia="微软雅黑"/>
                <w:color w:val="auto"/>
                <w:sz w:val="24"/>
                <w:szCs w:val="24"/>
              </w:rPr>
              <w:t>www.cdfy120.com</w:t>
            </w:r>
            <w:r>
              <w:rPr>
                <w:rFonts w:ascii="微软雅黑" w:hAnsi="微软雅黑" w:eastAsia="微软雅黑"/>
                <w:color w:val="auto"/>
                <w:sz w:val="24"/>
                <w:szCs w:val="24"/>
              </w:rPr>
              <w:fldChar w:fldCharType="end"/>
            </w:r>
          </w:p>
        </w:tc>
        <w:tc>
          <w:tcPr>
            <w:tcW w:w="1276" w:type="dxa"/>
          </w:tcPr>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普通话</w:t>
            </w:r>
          </w:p>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英语</w:t>
            </w:r>
          </w:p>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日语</w:t>
            </w:r>
          </w:p>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德语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8" w:hRule="atLeast"/>
          <w:jc w:val="center"/>
        </w:trPr>
        <w:tc>
          <w:tcPr>
            <w:tcW w:w="2187"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成都医学院第一附属医院</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（全科）</w:t>
            </w:r>
          </w:p>
        </w:tc>
        <w:tc>
          <w:tcPr>
            <w:tcW w:w="2268"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成都市新都区宝光大道中段</w:t>
            </w:r>
            <w:r>
              <w:rPr>
                <w:rFonts w:ascii="微软雅黑" w:hAnsi="微软雅黑" w:eastAsia="微软雅黑"/>
                <w:color w:val="auto"/>
                <w:sz w:val="24"/>
                <w:szCs w:val="24"/>
              </w:rPr>
              <w:t>278</w:t>
            </w:r>
            <w:r>
              <w:rPr>
                <w:rFonts w:hint="eastAsia" w:ascii="微软雅黑" w:hAnsi="微软雅黑" w:eastAsia="微软雅黑"/>
                <w:color w:val="auto"/>
                <w:sz w:val="24"/>
                <w:szCs w:val="24"/>
              </w:rPr>
              <w:t>号</w:t>
            </w:r>
          </w:p>
        </w:tc>
        <w:tc>
          <w:tcPr>
            <w:tcW w:w="3547" w:type="dxa"/>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服务热线：</w:t>
            </w:r>
            <w:r>
              <w:rPr>
                <w:rFonts w:ascii="微软雅黑" w:hAnsi="微软雅黑" w:eastAsia="微软雅黑"/>
                <w:color w:val="auto"/>
                <w:sz w:val="24"/>
                <w:szCs w:val="24"/>
              </w:rPr>
              <w:t>(028)83016600</w:t>
            </w: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门诊咨询：</w:t>
            </w:r>
            <w:r>
              <w:rPr>
                <w:rFonts w:ascii="微软雅黑" w:hAnsi="微软雅黑" w:eastAsia="微软雅黑"/>
                <w:color w:val="auto"/>
                <w:sz w:val="24"/>
                <w:szCs w:val="24"/>
              </w:rPr>
              <w:t>(028)83016824</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"http://www.cyfyy.cn/" </w:instrText>
            </w:r>
            <w:r>
              <w:rPr>
                <w:color w:val="auto"/>
              </w:rPr>
              <w:fldChar w:fldCharType="separate"/>
            </w:r>
            <w:r>
              <w:rPr>
                <w:rFonts w:ascii="微软雅黑" w:hAnsi="微软雅黑" w:eastAsia="微软雅黑"/>
                <w:color w:val="auto"/>
                <w:sz w:val="24"/>
                <w:szCs w:val="24"/>
              </w:rPr>
              <w:t>www.cyfyy.cn</w:t>
            </w:r>
            <w:r>
              <w:rPr>
                <w:rFonts w:ascii="微软雅黑" w:hAnsi="微软雅黑" w:eastAsia="微软雅黑"/>
                <w:color w:val="auto"/>
                <w:sz w:val="24"/>
                <w:szCs w:val="24"/>
              </w:rPr>
              <w:fldChar w:fldCharType="end"/>
            </w:r>
          </w:p>
        </w:tc>
        <w:tc>
          <w:tcPr>
            <w:tcW w:w="1276" w:type="dxa"/>
          </w:tcPr>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普</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通</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0" w:hRule="atLeast"/>
          <w:jc w:val="center"/>
        </w:trPr>
        <w:tc>
          <w:tcPr>
            <w:tcW w:w="2187"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成都市中西医结合医院</w:t>
            </w:r>
            <w:r>
              <w:rPr>
                <w:rFonts w:ascii="微软雅黑" w:hAnsi="微软雅黑" w:eastAsia="微软雅黑"/>
                <w:color w:val="auto"/>
                <w:sz w:val="24"/>
                <w:szCs w:val="24"/>
              </w:rPr>
              <w:t>(</w:t>
            </w:r>
            <w:r>
              <w:rPr>
                <w:rFonts w:hint="eastAsia" w:ascii="微软雅黑" w:hAnsi="微软雅黑" w:eastAsia="微软雅黑"/>
                <w:color w:val="auto"/>
                <w:sz w:val="24"/>
                <w:szCs w:val="24"/>
              </w:rPr>
              <w:t>成都市第一人民医院</w:t>
            </w:r>
            <w:r>
              <w:rPr>
                <w:rFonts w:ascii="微软雅黑" w:hAnsi="微软雅黑" w:eastAsia="微软雅黑"/>
                <w:color w:val="auto"/>
                <w:sz w:val="24"/>
                <w:szCs w:val="24"/>
              </w:rPr>
              <w:t>)</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（全科）</w:t>
            </w:r>
          </w:p>
        </w:tc>
        <w:tc>
          <w:tcPr>
            <w:tcW w:w="2268"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成都市高新区万象北路</w:t>
            </w:r>
            <w:r>
              <w:rPr>
                <w:rFonts w:ascii="微软雅黑" w:hAnsi="微软雅黑" w:eastAsia="微软雅黑"/>
                <w:color w:val="auto"/>
                <w:sz w:val="24"/>
                <w:szCs w:val="24"/>
              </w:rPr>
              <w:t>18</w:t>
            </w:r>
            <w:r>
              <w:rPr>
                <w:rFonts w:hint="eastAsia" w:ascii="微软雅黑" w:hAnsi="微软雅黑" w:eastAsia="微软雅黑"/>
                <w:color w:val="auto"/>
                <w:sz w:val="24"/>
                <w:szCs w:val="24"/>
              </w:rPr>
              <w:t>号</w:t>
            </w:r>
          </w:p>
        </w:tc>
        <w:tc>
          <w:tcPr>
            <w:tcW w:w="3547" w:type="dxa"/>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服务热线：</w:t>
            </w:r>
            <w:r>
              <w:rPr>
                <w:rFonts w:ascii="微软雅黑" w:hAnsi="微软雅黑" w:eastAsia="微软雅黑"/>
                <w:color w:val="auto"/>
                <w:sz w:val="24"/>
                <w:szCs w:val="24"/>
              </w:rPr>
              <w:t>(028)85311726</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"http://www.cdzxy.com/" </w:instrText>
            </w:r>
            <w:r>
              <w:rPr>
                <w:color w:val="auto"/>
              </w:rPr>
              <w:fldChar w:fldCharType="separate"/>
            </w:r>
            <w:r>
              <w:rPr>
                <w:rFonts w:ascii="微软雅黑" w:hAnsi="微软雅黑" w:eastAsia="微软雅黑"/>
                <w:color w:val="auto"/>
                <w:sz w:val="24"/>
                <w:szCs w:val="24"/>
              </w:rPr>
              <w:t>www.cdzxy.com</w:t>
            </w:r>
            <w:r>
              <w:rPr>
                <w:rFonts w:ascii="微软雅黑" w:hAnsi="微软雅黑" w:eastAsia="微软雅黑"/>
                <w:color w:val="auto"/>
                <w:sz w:val="24"/>
                <w:szCs w:val="24"/>
              </w:rPr>
              <w:fldChar w:fldCharType="end"/>
            </w:r>
          </w:p>
        </w:tc>
        <w:tc>
          <w:tcPr>
            <w:tcW w:w="1276" w:type="dxa"/>
          </w:tcPr>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普</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通</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7" w:hRule="atLeast"/>
          <w:jc w:val="center"/>
        </w:trPr>
        <w:tc>
          <w:tcPr>
            <w:tcW w:w="2187" w:type="dxa"/>
            <w:tcBorders>
              <w:bottom w:val="single" w:color="auto" w:sz="4" w:space="0"/>
            </w:tcBorders>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成都中医药大学附属医院</w:t>
            </w:r>
            <w:r>
              <w:rPr>
                <w:rFonts w:ascii="微软雅黑" w:hAnsi="微软雅黑" w:eastAsia="微软雅黑"/>
                <w:color w:val="auto"/>
                <w:sz w:val="24"/>
                <w:szCs w:val="24"/>
              </w:rPr>
              <w:t>(</w:t>
            </w:r>
            <w:r>
              <w:rPr>
                <w:rFonts w:hint="eastAsia" w:ascii="微软雅黑" w:hAnsi="微软雅黑" w:eastAsia="微软雅黑"/>
                <w:color w:val="auto"/>
                <w:sz w:val="24"/>
                <w:szCs w:val="24"/>
              </w:rPr>
              <w:t>四川省中医院</w:t>
            </w:r>
            <w:r>
              <w:rPr>
                <w:rFonts w:ascii="微软雅黑" w:hAnsi="微软雅黑" w:eastAsia="微软雅黑"/>
                <w:color w:val="auto"/>
                <w:sz w:val="24"/>
                <w:szCs w:val="24"/>
              </w:rPr>
              <w:t>)</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（中医全科）</w:t>
            </w:r>
          </w:p>
        </w:tc>
        <w:tc>
          <w:tcPr>
            <w:tcW w:w="2268" w:type="dxa"/>
            <w:tcBorders>
              <w:bottom w:val="single" w:color="auto" w:sz="4" w:space="0"/>
            </w:tcBorders>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成都市十二桥路</w:t>
            </w:r>
            <w:r>
              <w:rPr>
                <w:rFonts w:ascii="微软雅黑" w:hAnsi="微软雅黑" w:eastAsia="微软雅黑"/>
                <w:color w:val="auto"/>
                <w:sz w:val="24"/>
                <w:szCs w:val="24"/>
              </w:rPr>
              <w:t>39</w:t>
            </w:r>
            <w:r>
              <w:rPr>
                <w:rFonts w:hint="eastAsia" w:ascii="微软雅黑" w:hAnsi="微软雅黑" w:eastAsia="微软雅黑"/>
                <w:color w:val="auto"/>
                <w:sz w:val="24"/>
                <w:szCs w:val="24"/>
              </w:rPr>
              <w:t>号</w:t>
            </w:r>
          </w:p>
        </w:tc>
        <w:tc>
          <w:tcPr>
            <w:tcW w:w="3547" w:type="dxa"/>
            <w:tcBorders>
              <w:bottom w:val="single" w:color="auto" w:sz="4" w:space="0"/>
            </w:tcBorders>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总机：</w:t>
            </w:r>
            <w:r>
              <w:rPr>
                <w:rFonts w:ascii="微软雅黑" w:hAnsi="微软雅黑" w:eastAsia="微软雅黑"/>
                <w:color w:val="auto"/>
                <w:sz w:val="24"/>
                <w:szCs w:val="24"/>
              </w:rPr>
              <w:t>(028)87769902</w:t>
            </w: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咨询热线：</w:t>
            </w:r>
            <w:r>
              <w:rPr>
                <w:rFonts w:ascii="微软雅黑" w:hAnsi="微软雅黑" w:eastAsia="微软雅黑"/>
                <w:color w:val="auto"/>
                <w:sz w:val="24"/>
                <w:szCs w:val="24"/>
              </w:rPr>
              <w:t>(028)87783481</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"http://www.sctcm120.com/" </w:instrText>
            </w:r>
            <w:r>
              <w:rPr>
                <w:color w:val="auto"/>
              </w:rPr>
              <w:fldChar w:fldCharType="separate"/>
            </w:r>
            <w:r>
              <w:rPr>
                <w:rFonts w:ascii="微软雅黑" w:hAnsi="微软雅黑" w:eastAsia="微软雅黑"/>
                <w:color w:val="auto"/>
                <w:sz w:val="24"/>
                <w:szCs w:val="24"/>
              </w:rPr>
              <w:t>www.sctcm120.com</w:t>
            </w:r>
            <w:r>
              <w:rPr>
                <w:rFonts w:ascii="微软雅黑" w:hAnsi="微软雅黑" w:eastAsia="微软雅黑"/>
                <w:color w:val="auto"/>
                <w:sz w:val="24"/>
                <w:szCs w:val="24"/>
              </w:rPr>
              <w:fldChar w:fldCharType="end"/>
            </w:r>
          </w:p>
        </w:tc>
        <w:tc>
          <w:tcPr>
            <w:tcW w:w="1276" w:type="dxa"/>
            <w:tcBorders>
              <w:bottom w:val="single" w:color="auto" w:sz="4" w:space="0"/>
            </w:tcBorders>
          </w:tcPr>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普通话</w:t>
            </w:r>
          </w:p>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部分</w:t>
            </w:r>
          </w:p>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英文服务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7" w:hRule="atLeast"/>
          <w:jc w:val="center"/>
        </w:trPr>
        <w:tc>
          <w:tcPr>
            <w:tcW w:w="2187" w:type="dxa"/>
            <w:shd w:val="clear" w:color="auto" w:fill="auto"/>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四川大学望江医院</w:t>
            </w:r>
            <w:r>
              <w:rPr>
                <w:rFonts w:ascii="微软雅黑" w:hAnsi="微软雅黑" w:eastAsia="微软雅黑"/>
                <w:color w:val="auto"/>
                <w:sz w:val="24"/>
                <w:szCs w:val="24"/>
              </w:rPr>
              <w:t>(</w:t>
            </w:r>
            <w:r>
              <w:rPr>
                <w:rFonts w:hint="eastAsia" w:ascii="微软雅黑" w:hAnsi="微软雅黑" w:eastAsia="微软雅黑"/>
                <w:color w:val="auto"/>
                <w:sz w:val="24"/>
                <w:szCs w:val="24"/>
              </w:rPr>
              <w:t>对公众开放</w:t>
            </w:r>
            <w:r>
              <w:rPr>
                <w:rFonts w:ascii="微软雅黑" w:hAnsi="微软雅黑" w:eastAsia="微软雅黑"/>
                <w:color w:val="auto"/>
                <w:sz w:val="24"/>
                <w:szCs w:val="24"/>
              </w:rPr>
              <w:t>)</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（全科）</w:t>
            </w:r>
          </w:p>
        </w:tc>
        <w:tc>
          <w:tcPr>
            <w:tcW w:w="2268" w:type="dxa"/>
            <w:shd w:val="clear" w:color="auto" w:fill="auto"/>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成都市武侯区一环路南一段</w:t>
            </w:r>
            <w:r>
              <w:rPr>
                <w:rFonts w:ascii="微软雅黑" w:hAnsi="微软雅黑" w:eastAsia="微软雅黑"/>
                <w:color w:val="auto"/>
                <w:sz w:val="24"/>
                <w:szCs w:val="24"/>
              </w:rPr>
              <w:t>24</w:t>
            </w:r>
            <w:r>
              <w:rPr>
                <w:rFonts w:hint="eastAsia" w:ascii="微软雅黑" w:hAnsi="微软雅黑" w:eastAsia="微软雅黑"/>
                <w:color w:val="auto"/>
                <w:sz w:val="24"/>
                <w:szCs w:val="24"/>
              </w:rPr>
              <w:t>号文华大道</w:t>
            </w:r>
          </w:p>
        </w:tc>
        <w:tc>
          <w:tcPr>
            <w:tcW w:w="3547" w:type="dxa"/>
            <w:shd w:val="clear" w:color="auto" w:fill="auto"/>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咨询热线：</w:t>
            </w:r>
            <w:r>
              <w:rPr>
                <w:rFonts w:ascii="微软雅黑" w:hAnsi="微软雅黑" w:eastAsia="微软雅黑"/>
                <w:color w:val="auto"/>
                <w:sz w:val="24"/>
                <w:szCs w:val="24"/>
              </w:rPr>
              <w:t>(028)85463088</w:t>
            </w: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急救中心：</w:t>
            </w:r>
            <w:r>
              <w:rPr>
                <w:rFonts w:ascii="微软雅黑" w:hAnsi="微软雅黑" w:eastAsia="微软雅黑"/>
                <w:color w:val="auto"/>
                <w:sz w:val="24"/>
                <w:szCs w:val="24"/>
              </w:rPr>
              <w:t>(028)85400120</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"http://xyy.scu.edu.cn/" </w:instrText>
            </w:r>
            <w:r>
              <w:rPr>
                <w:color w:val="auto"/>
              </w:rPr>
              <w:fldChar w:fldCharType="separate"/>
            </w:r>
            <w:r>
              <w:rPr>
                <w:rFonts w:ascii="微软雅黑" w:hAnsi="微软雅黑" w:eastAsia="微软雅黑"/>
                <w:color w:val="auto"/>
                <w:sz w:val="24"/>
                <w:szCs w:val="24"/>
              </w:rPr>
              <w:t>xyy.scu.edu.cn</w:t>
            </w:r>
            <w:r>
              <w:rPr>
                <w:rFonts w:ascii="微软雅黑" w:hAnsi="微软雅黑" w:eastAsia="微软雅黑"/>
                <w:color w:val="auto"/>
                <w:sz w:val="24"/>
                <w:szCs w:val="24"/>
              </w:rPr>
              <w:fldChar w:fldCharType="end"/>
            </w:r>
          </w:p>
        </w:tc>
        <w:tc>
          <w:tcPr>
            <w:tcW w:w="1276" w:type="dxa"/>
            <w:shd w:val="clear" w:color="auto" w:fill="auto"/>
          </w:tcPr>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普通话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9" w:hRule="atLeast"/>
          <w:jc w:val="center"/>
        </w:trPr>
        <w:tc>
          <w:tcPr>
            <w:tcW w:w="2187" w:type="dxa"/>
            <w:shd w:val="clear" w:color="auto" w:fill="auto"/>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四川大学江安医院</w:t>
            </w:r>
            <w:r>
              <w:rPr>
                <w:rFonts w:ascii="微软雅黑" w:hAnsi="微软雅黑" w:eastAsia="微软雅黑"/>
                <w:color w:val="auto"/>
                <w:sz w:val="24"/>
                <w:szCs w:val="24"/>
              </w:rPr>
              <w:t>(</w:t>
            </w:r>
            <w:r>
              <w:rPr>
                <w:rFonts w:hint="eastAsia" w:ascii="微软雅黑" w:hAnsi="微软雅黑" w:eastAsia="微软雅黑"/>
                <w:color w:val="auto"/>
                <w:sz w:val="24"/>
                <w:szCs w:val="24"/>
              </w:rPr>
              <w:t>对公众开放</w:t>
            </w:r>
            <w:r>
              <w:rPr>
                <w:rFonts w:ascii="微软雅黑" w:hAnsi="微软雅黑" w:eastAsia="微软雅黑"/>
                <w:color w:val="auto"/>
                <w:sz w:val="24"/>
                <w:szCs w:val="24"/>
              </w:rPr>
              <w:t>)</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（全科）</w:t>
            </w:r>
          </w:p>
        </w:tc>
        <w:tc>
          <w:tcPr>
            <w:tcW w:w="2268" w:type="dxa"/>
            <w:shd w:val="clear" w:color="auto" w:fill="auto"/>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成都市双流区文星镇川大路二段四川大学江安校区西区商业街</w:t>
            </w:r>
          </w:p>
        </w:tc>
        <w:tc>
          <w:tcPr>
            <w:tcW w:w="3547" w:type="dxa"/>
            <w:shd w:val="clear" w:color="auto" w:fill="auto"/>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急救中心：</w:t>
            </w:r>
            <w:r>
              <w:rPr>
                <w:rFonts w:ascii="微软雅黑" w:hAnsi="微软雅黑" w:eastAsia="微软雅黑"/>
                <w:color w:val="auto"/>
                <w:sz w:val="24"/>
                <w:szCs w:val="24"/>
              </w:rPr>
              <w:t>(028)85990120(</w:t>
            </w:r>
            <w:r>
              <w:rPr>
                <w:rFonts w:hint="eastAsia" w:ascii="微软雅黑" w:hAnsi="微软雅黑" w:eastAsia="微软雅黑"/>
                <w:color w:val="auto"/>
                <w:sz w:val="24"/>
                <w:szCs w:val="24"/>
              </w:rPr>
              <w:t>昼</w:t>
            </w:r>
            <w:r>
              <w:rPr>
                <w:rFonts w:ascii="微软雅黑" w:hAnsi="微软雅黑" w:eastAsia="微软雅黑"/>
                <w:color w:val="auto"/>
                <w:sz w:val="24"/>
                <w:szCs w:val="24"/>
              </w:rPr>
              <w:t>)</w:t>
            </w:r>
          </w:p>
          <w:p>
            <w:pPr>
              <w:spacing w:line="400" w:lineRule="exact"/>
              <w:ind w:firstLine="1200" w:firstLineChars="500"/>
              <w:rPr>
                <w:rFonts w:ascii="微软雅黑" w:hAnsi="微软雅黑" w:eastAsia="微软雅黑"/>
                <w:color w:val="auto"/>
                <w:sz w:val="24"/>
                <w:szCs w:val="24"/>
              </w:rPr>
            </w:pPr>
            <w:r>
              <w:rPr>
                <w:rFonts w:ascii="微软雅黑" w:hAnsi="微软雅黑" w:eastAsia="微软雅黑"/>
                <w:color w:val="auto"/>
                <w:sz w:val="24"/>
                <w:szCs w:val="24"/>
              </w:rPr>
              <w:t>(028)85990121(</w:t>
            </w:r>
            <w:r>
              <w:rPr>
                <w:rFonts w:hint="eastAsia" w:ascii="微软雅黑" w:hAnsi="微软雅黑" w:eastAsia="微软雅黑"/>
                <w:color w:val="auto"/>
                <w:sz w:val="24"/>
                <w:szCs w:val="24"/>
              </w:rPr>
              <w:t>夜</w:t>
            </w:r>
            <w:r>
              <w:rPr>
                <w:rFonts w:ascii="微软雅黑" w:hAnsi="微软雅黑" w:eastAsia="微软雅黑"/>
                <w:color w:val="auto"/>
                <w:sz w:val="24"/>
                <w:szCs w:val="24"/>
              </w:rPr>
              <w:t>)</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"http://xyy.scu.edu.cn/" </w:instrText>
            </w:r>
            <w:r>
              <w:rPr>
                <w:color w:val="auto"/>
              </w:rPr>
              <w:fldChar w:fldCharType="separate"/>
            </w:r>
            <w:r>
              <w:rPr>
                <w:rFonts w:ascii="微软雅黑" w:hAnsi="微软雅黑" w:eastAsia="微软雅黑"/>
                <w:color w:val="auto"/>
                <w:sz w:val="24"/>
                <w:szCs w:val="24"/>
              </w:rPr>
              <w:t>xyy.scu.edu.cn</w:t>
            </w:r>
            <w:r>
              <w:rPr>
                <w:rFonts w:ascii="微软雅黑" w:hAnsi="微软雅黑" w:eastAsia="微软雅黑"/>
                <w:color w:val="auto"/>
                <w:sz w:val="24"/>
                <w:szCs w:val="24"/>
              </w:rPr>
              <w:fldChar w:fldCharType="end"/>
            </w:r>
          </w:p>
        </w:tc>
        <w:tc>
          <w:tcPr>
            <w:tcW w:w="1276" w:type="dxa"/>
            <w:shd w:val="clear" w:color="auto" w:fill="auto"/>
          </w:tcPr>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普通话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1" w:hRule="atLeast"/>
          <w:jc w:val="center"/>
        </w:trPr>
        <w:tc>
          <w:tcPr>
            <w:tcW w:w="2187" w:type="dxa"/>
            <w:shd w:val="clear" w:color="auto" w:fill="auto"/>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四川大学华西保健医院</w:t>
            </w:r>
            <w:r>
              <w:rPr>
                <w:rFonts w:ascii="微软雅黑" w:hAnsi="微软雅黑" w:eastAsia="微软雅黑"/>
                <w:color w:val="auto"/>
                <w:sz w:val="24"/>
                <w:szCs w:val="24"/>
              </w:rPr>
              <w:t>(</w:t>
            </w:r>
            <w:r>
              <w:rPr>
                <w:rFonts w:hint="eastAsia" w:ascii="微软雅黑" w:hAnsi="微软雅黑" w:eastAsia="微软雅黑"/>
                <w:color w:val="auto"/>
                <w:sz w:val="24"/>
                <w:szCs w:val="24"/>
              </w:rPr>
              <w:t>对公众开放</w:t>
            </w:r>
            <w:r>
              <w:rPr>
                <w:rFonts w:ascii="微软雅黑" w:hAnsi="微软雅黑" w:eastAsia="微软雅黑"/>
                <w:color w:val="auto"/>
                <w:sz w:val="24"/>
                <w:szCs w:val="24"/>
              </w:rPr>
              <w:t>)</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（全科）</w:t>
            </w:r>
          </w:p>
        </w:tc>
        <w:tc>
          <w:tcPr>
            <w:tcW w:w="2268" w:type="dxa"/>
            <w:shd w:val="clear" w:color="auto" w:fill="auto"/>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成都市武侯区林荫街</w:t>
            </w:r>
            <w:r>
              <w:rPr>
                <w:rFonts w:ascii="微软雅黑" w:hAnsi="微软雅黑" w:eastAsia="微软雅黑"/>
                <w:color w:val="auto"/>
                <w:sz w:val="24"/>
                <w:szCs w:val="24"/>
              </w:rPr>
              <w:t>8</w:t>
            </w:r>
            <w:r>
              <w:rPr>
                <w:rFonts w:hint="eastAsia" w:ascii="微软雅黑" w:hAnsi="微软雅黑" w:eastAsia="微软雅黑"/>
                <w:color w:val="auto"/>
                <w:sz w:val="24"/>
                <w:szCs w:val="24"/>
              </w:rPr>
              <w:t>号</w:t>
            </w:r>
          </w:p>
        </w:tc>
        <w:tc>
          <w:tcPr>
            <w:tcW w:w="3547" w:type="dxa"/>
            <w:shd w:val="clear" w:color="auto" w:fill="auto"/>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急救中心：</w:t>
            </w:r>
            <w:r>
              <w:rPr>
                <w:rFonts w:ascii="微软雅黑" w:hAnsi="微软雅黑" w:eastAsia="微软雅黑"/>
                <w:color w:val="auto"/>
                <w:sz w:val="24"/>
                <w:szCs w:val="24"/>
              </w:rPr>
              <w:t>(028)85501183</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"http://xyy.scu.edu.cn/" </w:instrText>
            </w:r>
            <w:r>
              <w:rPr>
                <w:color w:val="auto"/>
              </w:rPr>
              <w:fldChar w:fldCharType="separate"/>
            </w:r>
            <w:r>
              <w:rPr>
                <w:rFonts w:ascii="微软雅黑" w:hAnsi="微软雅黑" w:eastAsia="微软雅黑"/>
                <w:color w:val="auto"/>
                <w:sz w:val="24"/>
                <w:szCs w:val="24"/>
              </w:rPr>
              <w:t>xyy.scu.edu.cn</w:t>
            </w:r>
            <w:r>
              <w:rPr>
                <w:rFonts w:ascii="微软雅黑" w:hAnsi="微软雅黑" w:eastAsia="微软雅黑"/>
                <w:color w:val="auto"/>
                <w:sz w:val="24"/>
                <w:szCs w:val="24"/>
              </w:rPr>
              <w:fldChar w:fldCharType="end"/>
            </w:r>
          </w:p>
        </w:tc>
        <w:tc>
          <w:tcPr>
            <w:tcW w:w="1276" w:type="dxa"/>
            <w:shd w:val="clear" w:color="auto" w:fill="auto"/>
          </w:tcPr>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普通话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9278" w:type="dxa"/>
            <w:gridSpan w:val="4"/>
            <w:shd w:val="clear" w:color="auto" w:fill="A6C9E8"/>
            <w:vAlign w:val="center"/>
          </w:tcPr>
          <w:p>
            <w:pPr>
              <w:spacing w:line="400" w:lineRule="exact"/>
              <w:jc w:val="center"/>
              <w:rPr>
                <w:rFonts w:ascii="微软雅黑" w:hAnsi="微软雅黑" w:eastAsia="微软雅黑" w:cs="......"/>
                <w:b/>
                <w:color w:val="auto"/>
                <w:szCs w:val="21"/>
              </w:rPr>
            </w:pPr>
            <w:r>
              <w:rPr>
                <w:rFonts w:hint="eastAsia" w:ascii="微软雅黑" w:hAnsi="微软雅黑" w:eastAsia="微软雅黑" w:cs="Times New Roman"/>
                <w:b/>
                <w:color w:val="auto"/>
                <w:sz w:val="24"/>
                <w:szCs w:val="24"/>
              </w:rPr>
              <w:t>公立</w:t>
            </w:r>
            <w:r>
              <w:rPr>
                <w:rFonts w:ascii="微软雅黑" w:hAnsi="微软雅黑" w:eastAsia="微软雅黑" w:cs="Times New Roman"/>
                <w:b/>
                <w:color w:val="auto"/>
                <w:sz w:val="24"/>
                <w:szCs w:val="24"/>
              </w:rPr>
              <w:t xml:space="preserve">– </w:t>
            </w:r>
            <w:r>
              <w:rPr>
                <w:rFonts w:hint="eastAsia" w:ascii="微软雅黑" w:hAnsi="微软雅黑" w:eastAsia="微软雅黑" w:cs="Times New Roman"/>
                <w:b/>
                <w:color w:val="auto"/>
                <w:sz w:val="24"/>
                <w:szCs w:val="24"/>
              </w:rPr>
              <w:t>专科医院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2187"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四川省骨科医院</w:t>
            </w:r>
            <w:r>
              <w:rPr>
                <w:rFonts w:ascii="微软雅黑" w:hAnsi="微软雅黑" w:eastAsia="微软雅黑"/>
                <w:color w:val="auto"/>
                <w:sz w:val="24"/>
                <w:szCs w:val="24"/>
              </w:rPr>
              <w:t>(</w:t>
            </w:r>
            <w:r>
              <w:rPr>
                <w:rFonts w:hint="eastAsia" w:ascii="微软雅黑" w:hAnsi="微软雅黑" w:eastAsia="微软雅黑"/>
                <w:color w:val="auto"/>
                <w:sz w:val="24"/>
                <w:szCs w:val="24"/>
              </w:rPr>
              <w:t>成都体育医院</w:t>
            </w:r>
            <w:r>
              <w:rPr>
                <w:rFonts w:ascii="微软雅黑" w:hAnsi="微软雅黑" w:eastAsia="微软雅黑"/>
                <w:color w:val="auto"/>
                <w:sz w:val="24"/>
                <w:szCs w:val="24"/>
              </w:rPr>
              <w:t>)</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（中医骨科）</w:t>
            </w:r>
          </w:p>
        </w:tc>
        <w:tc>
          <w:tcPr>
            <w:tcW w:w="2268"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成都市一环路西一段</w:t>
            </w:r>
            <w:r>
              <w:rPr>
                <w:rFonts w:ascii="微软雅黑" w:hAnsi="微软雅黑" w:eastAsia="微软雅黑"/>
                <w:color w:val="auto"/>
                <w:sz w:val="24"/>
                <w:szCs w:val="24"/>
              </w:rPr>
              <w:t>132</w:t>
            </w:r>
            <w:r>
              <w:rPr>
                <w:rFonts w:hint="eastAsia" w:ascii="微软雅黑" w:hAnsi="微软雅黑" w:eastAsia="微软雅黑"/>
                <w:color w:val="auto"/>
                <w:sz w:val="24"/>
                <w:szCs w:val="24"/>
              </w:rPr>
              <w:t>号</w:t>
            </w:r>
          </w:p>
        </w:tc>
        <w:tc>
          <w:tcPr>
            <w:tcW w:w="3547"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服务热线：</w:t>
            </w:r>
            <w:r>
              <w:rPr>
                <w:rFonts w:ascii="微软雅黑" w:hAnsi="微软雅黑" w:eastAsia="微软雅黑"/>
                <w:color w:val="auto"/>
                <w:sz w:val="24"/>
                <w:szCs w:val="24"/>
              </w:rPr>
              <w:t>(028)87015226</w:t>
            </w:r>
          </w:p>
          <w:p>
            <w:pPr>
              <w:spacing w:line="400" w:lineRule="exact"/>
              <w:ind w:firstLine="1200" w:firstLineChars="500"/>
              <w:rPr>
                <w:rFonts w:ascii="微软雅黑" w:hAnsi="微软雅黑" w:eastAsia="微软雅黑"/>
                <w:color w:val="auto"/>
                <w:sz w:val="24"/>
                <w:szCs w:val="24"/>
                <w:lang w:eastAsia="zh-TW"/>
              </w:rPr>
            </w:pPr>
            <w:r>
              <w:rPr>
                <w:rFonts w:ascii="微软雅黑" w:hAnsi="微软雅黑" w:eastAsia="微软雅黑"/>
                <w:color w:val="auto"/>
                <w:sz w:val="24"/>
                <w:szCs w:val="24"/>
              </w:rPr>
              <w:t>(028)87014160</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急诊电话：</w:t>
            </w:r>
            <w:r>
              <w:rPr>
                <w:rFonts w:ascii="微软雅黑" w:hAnsi="微软雅黑" w:eastAsia="微软雅黑"/>
                <w:color w:val="auto"/>
                <w:sz w:val="24"/>
                <w:szCs w:val="24"/>
              </w:rPr>
              <w:t>(028)87026080</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"http://scsgkyy.com/" </w:instrText>
            </w:r>
            <w:r>
              <w:rPr>
                <w:color w:val="auto"/>
              </w:rPr>
              <w:fldChar w:fldCharType="separate"/>
            </w:r>
            <w:r>
              <w:rPr>
                <w:rFonts w:ascii="微软雅黑" w:hAnsi="微软雅黑" w:eastAsia="微软雅黑"/>
                <w:color w:val="auto"/>
                <w:sz w:val="24"/>
                <w:szCs w:val="24"/>
              </w:rPr>
              <w:t>scsgkyy.com</w:t>
            </w:r>
            <w:r>
              <w:rPr>
                <w:rFonts w:ascii="微软雅黑" w:hAnsi="微软雅黑" w:eastAsia="微软雅黑"/>
                <w:color w:val="auto"/>
                <w:sz w:val="24"/>
                <w:szCs w:val="24"/>
              </w:rPr>
              <w:fldChar w:fldCharType="end"/>
            </w:r>
          </w:p>
        </w:tc>
        <w:tc>
          <w:tcPr>
            <w:tcW w:w="1276" w:type="dxa"/>
          </w:tcPr>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普通话</w:t>
            </w:r>
          </w:p>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部分</w:t>
            </w:r>
          </w:p>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英文服务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0" w:hRule="atLeast"/>
          <w:jc w:val="center"/>
        </w:trPr>
        <w:tc>
          <w:tcPr>
            <w:tcW w:w="2187"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四川大学华西第二医院</w:t>
            </w:r>
            <w:r>
              <w:rPr>
                <w:rFonts w:ascii="微软雅黑" w:hAnsi="微软雅黑" w:eastAsia="微软雅黑"/>
                <w:color w:val="auto"/>
                <w:sz w:val="24"/>
                <w:szCs w:val="24"/>
              </w:rPr>
              <w:t>(</w:t>
            </w:r>
            <w:r>
              <w:rPr>
                <w:rFonts w:hint="eastAsia" w:ascii="微软雅黑" w:hAnsi="微软雅黑" w:eastAsia="微软雅黑"/>
                <w:color w:val="auto"/>
                <w:sz w:val="24"/>
                <w:szCs w:val="24"/>
              </w:rPr>
              <w:t>四川大学华西妇产儿童医院</w:t>
            </w:r>
            <w:r>
              <w:rPr>
                <w:rFonts w:ascii="微软雅黑" w:hAnsi="微软雅黑" w:eastAsia="微软雅黑"/>
                <w:color w:val="auto"/>
                <w:sz w:val="24"/>
                <w:szCs w:val="24"/>
              </w:rPr>
              <w:t>)</w:t>
            </w: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（妇科、产科和儿科）</w:t>
            </w:r>
          </w:p>
        </w:tc>
        <w:tc>
          <w:tcPr>
            <w:tcW w:w="2268"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成都市人民南路三段</w:t>
            </w:r>
            <w:r>
              <w:rPr>
                <w:rFonts w:ascii="微软雅黑" w:hAnsi="微软雅黑" w:eastAsia="微软雅黑"/>
                <w:color w:val="auto"/>
                <w:sz w:val="24"/>
                <w:szCs w:val="24"/>
              </w:rPr>
              <w:t>20</w:t>
            </w:r>
            <w:r>
              <w:rPr>
                <w:rFonts w:hint="eastAsia" w:ascii="微软雅黑" w:hAnsi="微软雅黑" w:eastAsia="微软雅黑"/>
                <w:color w:val="auto"/>
                <w:sz w:val="24"/>
                <w:szCs w:val="24"/>
              </w:rPr>
              <w:t>号</w:t>
            </w:r>
          </w:p>
        </w:tc>
        <w:tc>
          <w:tcPr>
            <w:tcW w:w="3547" w:type="dxa"/>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咨询热线：</w:t>
            </w:r>
            <w:r>
              <w:rPr>
                <w:rFonts w:ascii="微软雅黑" w:hAnsi="微软雅黑" w:eastAsia="微软雅黑"/>
                <w:color w:val="auto"/>
                <w:sz w:val="24"/>
                <w:szCs w:val="24"/>
              </w:rPr>
              <w:t>(028)85503960</w:t>
            </w: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预约挂号：</w:t>
            </w:r>
            <w:r>
              <w:rPr>
                <w:rFonts w:ascii="微软雅黑" w:hAnsi="微软雅黑" w:eastAsia="微软雅黑"/>
                <w:color w:val="auto"/>
                <w:sz w:val="24"/>
                <w:szCs w:val="24"/>
              </w:rPr>
              <w:t>(028)85503521</w:t>
            </w: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网站：</w:t>
            </w:r>
          </w:p>
          <w:p>
            <w:pPr>
              <w:spacing w:line="400" w:lineRule="exact"/>
              <w:rPr>
                <w:rFonts w:ascii="微软雅黑" w:hAnsi="微软雅黑" w:eastAsia="微软雅黑"/>
                <w:color w:val="auto"/>
                <w:sz w:val="24"/>
                <w:szCs w:val="24"/>
              </w:rPr>
            </w:pPr>
            <w:r>
              <w:rPr>
                <w:color w:val="auto"/>
              </w:rPr>
              <w:fldChar w:fldCharType="begin"/>
            </w:r>
            <w:r>
              <w:rPr>
                <w:color w:val="auto"/>
              </w:rPr>
              <w:instrText xml:space="preserve"> HYPERLINK "http://www.motherchildren.com/" </w:instrText>
            </w:r>
            <w:r>
              <w:rPr>
                <w:color w:val="auto"/>
              </w:rPr>
              <w:fldChar w:fldCharType="separate"/>
            </w:r>
            <w:r>
              <w:rPr>
                <w:rFonts w:ascii="微软雅黑" w:hAnsi="微软雅黑" w:eastAsia="微软雅黑"/>
                <w:color w:val="auto"/>
                <w:sz w:val="24"/>
                <w:szCs w:val="24"/>
              </w:rPr>
              <w:t>www.motherchildren.com</w:t>
            </w:r>
            <w:r>
              <w:rPr>
                <w:rFonts w:ascii="微软雅黑" w:hAnsi="微软雅黑" w:eastAsia="微软雅黑"/>
                <w:color w:val="auto"/>
                <w:sz w:val="24"/>
                <w:szCs w:val="24"/>
              </w:rPr>
              <w:fldChar w:fldCharType="end"/>
            </w:r>
          </w:p>
        </w:tc>
        <w:tc>
          <w:tcPr>
            <w:tcW w:w="1276" w:type="dxa"/>
          </w:tcPr>
          <w:p>
            <w:pPr>
              <w:pStyle w:val="26"/>
              <w:spacing w:line="400" w:lineRule="exact"/>
              <w:jc w:val="both"/>
              <w:rPr>
                <w:rFonts w:ascii="微软雅黑" w:hAnsi="微软雅黑" w:eastAsia="微软雅黑" w:cs="Times New Roman"/>
                <w:color w:val="auto"/>
                <w:kern w:val="2"/>
              </w:rPr>
            </w:pPr>
            <w:r>
              <w:rPr>
                <w:rFonts w:hint="eastAsia" w:ascii="微软雅黑" w:hAnsi="微软雅黑" w:eastAsia="微软雅黑" w:cs="Times New Roman"/>
                <w:color w:val="auto"/>
                <w:kern w:val="2"/>
              </w:rPr>
              <w:t>普</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通</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8" w:hRule="atLeast"/>
          <w:jc w:val="center"/>
        </w:trPr>
        <w:tc>
          <w:tcPr>
            <w:tcW w:w="2187"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四川大学华西口腔医院</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（口腔科）</w:t>
            </w:r>
          </w:p>
        </w:tc>
        <w:tc>
          <w:tcPr>
            <w:tcW w:w="2268"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成都市人民南路三段</w:t>
            </w:r>
            <w:r>
              <w:rPr>
                <w:rFonts w:ascii="微软雅黑" w:hAnsi="微软雅黑" w:eastAsia="微软雅黑"/>
                <w:color w:val="auto"/>
                <w:sz w:val="24"/>
                <w:szCs w:val="24"/>
              </w:rPr>
              <w:t>14</w:t>
            </w:r>
            <w:r>
              <w:rPr>
                <w:rFonts w:hint="eastAsia" w:ascii="微软雅黑" w:hAnsi="微软雅黑" w:eastAsia="微软雅黑"/>
                <w:color w:val="auto"/>
                <w:sz w:val="24"/>
                <w:szCs w:val="24"/>
              </w:rPr>
              <w:t>号</w:t>
            </w:r>
          </w:p>
        </w:tc>
        <w:tc>
          <w:tcPr>
            <w:tcW w:w="3547" w:type="dxa"/>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医疗咨询：</w:t>
            </w:r>
            <w:r>
              <w:rPr>
                <w:rFonts w:ascii="微软雅黑" w:hAnsi="微软雅黑" w:eastAsia="微软雅黑"/>
                <w:color w:val="auto"/>
                <w:sz w:val="24"/>
                <w:szCs w:val="24"/>
              </w:rPr>
              <w:t>(028)85501437</w:t>
            </w: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预约挂号：</w:t>
            </w:r>
            <w:r>
              <w:rPr>
                <w:rFonts w:ascii="微软雅黑" w:hAnsi="微软雅黑" w:eastAsia="微软雅黑"/>
                <w:color w:val="auto"/>
                <w:sz w:val="24"/>
                <w:szCs w:val="24"/>
              </w:rPr>
              <w:t>(028)85501431</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"http://www.hxkq.org/" </w:instrText>
            </w:r>
            <w:r>
              <w:rPr>
                <w:color w:val="auto"/>
              </w:rPr>
              <w:fldChar w:fldCharType="separate"/>
            </w:r>
            <w:r>
              <w:rPr>
                <w:rFonts w:ascii="微软雅黑" w:hAnsi="微软雅黑" w:eastAsia="微软雅黑"/>
                <w:color w:val="auto"/>
                <w:sz w:val="24"/>
                <w:szCs w:val="24"/>
              </w:rPr>
              <w:t>www.hxkq.org</w:t>
            </w:r>
            <w:r>
              <w:rPr>
                <w:rFonts w:ascii="微软雅黑" w:hAnsi="微软雅黑" w:eastAsia="微软雅黑"/>
                <w:color w:val="auto"/>
                <w:sz w:val="24"/>
                <w:szCs w:val="24"/>
              </w:rPr>
              <w:fldChar w:fldCharType="end"/>
            </w:r>
          </w:p>
        </w:tc>
        <w:tc>
          <w:tcPr>
            <w:tcW w:w="1276" w:type="dxa"/>
          </w:tcPr>
          <w:p>
            <w:pPr>
              <w:pStyle w:val="26"/>
              <w:spacing w:line="360" w:lineRule="exact"/>
              <w:jc w:val="distribute"/>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普通话</w:t>
            </w:r>
          </w:p>
          <w:p>
            <w:pPr>
              <w:pStyle w:val="26"/>
              <w:spacing w:line="360" w:lineRule="exact"/>
              <w:jc w:val="distribute"/>
              <w:rPr>
                <w:rFonts w:ascii="微软雅黑" w:hAnsi="微软雅黑" w:eastAsia="微软雅黑"/>
                <w:color w:val="auto"/>
              </w:rPr>
            </w:pPr>
            <w:r>
              <w:rPr>
                <w:rFonts w:hint="eastAsia" w:ascii="微软雅黑" w:hAnsi="微软雅黑" w:eastAsia="微软雅黑" w:cs="Times New Roman"/>
                <w:color w:val="auto"/>
                <w:kern w:val="2"/>
              </w:rPr>
              <w:t>英文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7" w:hRule="atLeast"/>
          <w:jc w:val="center"/>
        </w:trPr>
        <w:tc>
          <w:tcPr>
            <w:tcW w:w="2187"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成都市第四人民医院</w:t>
            </w:r>
            <w:r>
              <w:rPr>
                <w:rFonts w:ascii="微软雅黑" w:hAnsi="微软雅黑" w:eastAsia="微软雅黑"/>
                <w:color w:val="auto"/>
                <w:sz w:val="24"/>
                <w:szCs w:val="24"/>
              </w:rPr>
              <w:t>(</w:t>
            </w:r>
            <w:r>
              <w:rPr>
                <w:rFonts w:hint="eastAsia" w:ascii="微软雅黑" w:hAnsi="微软雅黑" w:eastAsia="微软雅黑"/>
                <w:color w:val="auto"/>
                <w:sz w:val="24"/>
                <w:szCs w:val="24"/>
              </w:rPr>
              <w:t>成都市精神卫生中心</w:t>
            </w:r>
            <w:r>
              <w:rPr>
                <w:rFonts w:ascii="微软雅黑" w:hAnsi="微软雅黑" w:eastAsia="微软雅黑"/>
                <w:color w:val="auto"/>
                <w:sz w:val="24"/>
                <w:szCs w:val="24"/>
              </w:rPr>
              <w:t>)</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（精神科）</w:t>
            </w:r>
          </w:p>
        </w:tc>
        <w:tc>
          <w:tcPr>
            <w:tcW w:w="2268"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成都市营门口路互利西一巷</w:t>
            </w:r>
            <w:r>
              <w:rPr>
                <w:rFonts w:ascii="微软雅黑" w:hAnsi="微软雅黑" w:eastAsia="微软雅黑"/>
                <w:color w:val="auto"/>
                <w:sz w:val="24"/>
                <w:szCs w:val="24"/>
              </w:rPr>
              <w:t>8</w:t>
            </w:r>
            <w:r>
              <w:rPr>
                <w:rFonts w:hint="eastAsia" w:ascii="微软雅黑" w:hAnsi="微软雅黑" w:eastAsia="微软雅黑"/>
                <w:color w:val="auto"/>
                <w:sz w:val="24"/>
                <w:szCs w:val="24"/>
              </w:rPr>
              <w:t>号</w:t>
            </w:r>
          </w:p>
        </w:tc>
        <w:tc>
          <w:tcPr>
            <w:tcW w:w="3547" w:type="dxa"/>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就医咨询：</w:t>
            </w:r>
            <w:r>
              <w:rPr>
                <w:rFonts w:ascii="微软雅黑" w:hAnsi="微软雅黑" w:eastAsia="微软雅黑"/>
                <w:color w:val="auto"/>
                <w:sz w:val="24"/>
                <w:szCs w:val="24"/>
              </w:rPr>
              <w:t>(028)87522430</w:t>
            </w:r>
          </w:p>
          <w:p>
            <w:pPr>
              <w:spacing w:line="380" w:lineRule="exact"/>
              <w:rPr>
                <w:rFonts w:ascii="微软雅黑" w:hAnsi="微软雅黑" w:eastAsia="微软雅黑"/>
                <w:color w:val="auto"/>
                <w:sz w:val="24"/>
                <w:szCs w:val="24"/>
              </w:rPr>
            </w:pPr>
            <w:r>
              <w:rPr>
                <w:rFonts w:hint="eastAsia" w:ascii="微软雅黑" w:hAnsi="微软雅黑" w:eastAsia="微软雅黑"/>
                <w:color w:val="auto"/>
                <w:sz w:val="24"/>
                <w:szCs w:val="24"/>
              </w:rPr>
              <w:t>预约挂号：</w:t>
            </w:r>
            <w:r>
              <w:rPr>
                <w:rFonts w:ascii="微软雅黑" w:hAnsi="微软雅黑" w:eastAsia="微软雅黑"/>
                <w:color w:val="auto"/>
                <w:sz w:val="24"/>
                <w:szCs w:val="24"/>
              </w:rPr>
              <w:t>(028)87528604</w:t>
            </w:r>
          </w:p>
          <w:p>
            <w:pPr>
              <w:spacing w:line="360" w:lineRule="exact"/>
              <w:rPr>
                <w:rFonts w:ascii="微软雅黑" w:hAnsi="微软雅黑" w:eastAsia="微软雅黑"/>
                <w:color w:val="auto"/>
                <w:sz w:val="24"/>
                <w:szCs w:val="24"/>
              </w:rPr>
            </w:pPr>
            <w:r>
              <w:rPr>
                <w:rFonts w:hint="eastAsia" w:ascii="微软雅黑" w:hAnsi="微软雅黑" w:eastAsia="微软雅黑"/>
                <w:color w:val="auto"/>
                <w:sz w:val="24"/>
                <w:szCs w:val="24"/>
              </w:rPr>
              <w:t>网站：</w:t>
            </w:r>
          </w:p>
          <w:p>
            <w:pPr>
              <w:spacing w:line="380" w:lineRule="exact"/>
              <w:rPr>
                <w:rFonts w:ascii="微软雅黑" w:hAnsi="微软雅黑" w:eastAsia="微软雅黑"/>
                <w:color w:val="auto"/>
                <w:sz w:val="24"/>
                <w:szCs w:val="24"/>
                <w:lang w:eastAsia="zh-TW"/>
              </w:rPr>
            </w:pPr>
            <w:r>
              <w:rPr>
                <w:color w:val="auto"/>
              </w:rPr>
              <w:fldChar w:fldCharType="begin"/>
            </w:r>
            <w:r>
              <w:rPr>
                <w:color w:val="auto"/>
              </w:rPr>
              <w:instrText xml:space="preserve"> HYPERLINK "http://www.cd-psychologist.com/" </w:instrText>
            </w:r>
            <w:r>
              <w:rPr>
                <w:color w:val="auto"/>
              </w:rPr>
              <w:fldChar w:fldCharType="separate"/>
            </w:r>
            <w:r>
              <w:rPr>
                <w:rFonts w:ascii="微软雅黑" w:hAnsi="微软雅黑" w:eastAsia="微软雅黑"/>
                <w:color w:val="auto"/>
                <w:sz w:val="24"/>
                <w:szCs w:val="24"/>
              </w:rPr>
              <w:t>www.cd-psychologist.com</w:t>
            </w:r>
            <w:r>
              <w:rPr>
                <w:rFonts w:ascii="微软雅黑" w:hAnsi="微软雅黑" w:eastAsia="微软雅黑"/>
                <w:color w:val="auto"/>
                <w:sz w:val="24"/>
                <w:szCs w:val="24"/>
              </w:rPr>
              <w:fldChar w:fldCharType="end"/>
            </w:r>
          </w:p>
        </w:tc>
        <w:tc>
          <w:tcPr>
            <w:tcW w:w="1276" w:type="dxa"/>
          </w:tcPr>
          <w:p>
            <w:pPr>
              <w:pStyle w:val="26"/>
              <w:spacing w:line="400" w:lineRule="exact"/>
              <w:jc w:val="both"/>
              <w:rPr>
                <w:rFonts w:ascii="微软雅黑" w:hAnsi="微软雅黑" w:eastAsia="微软雅黑" w:cs="Times New Roman"/>
                <w:color w:val="auto"/>
                <w:kern w:val="2"/>
              </w:rPr>
            </w:pPr>
            <w:r>
              <w:rPr>
                <w:rFonts w:hint="eastAsia" w:ascii="微软雅黑" w:hAnsi="微软雅黑" w:eastAsia="微软雅黑" w:cs="Times New Roman"/>
                <w:color w:val="auto"/>
                <w:kern w:val="2"/>
              </w:rPr>
              <w:t>普</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通</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0" w:hRule="atLeast"/>
          <w:jc w:val="center"/>
        </w:trPr>
        <w:tc>
          <w:tcPr>
            <w:tcW w:w="2187"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成都市妇女儿童中心医院</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（妇科、儿科及保健科）</w:t>
            </w:r>
          </w:p>
        </w:tc>
        <w:tc>
          <w:tcPr>
            <w:tcW w:w="2268"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成都市青羊区西三环外日月大道一段</w:t>
            </w:r>
            <w:r>
              <w:rPr>
                <w:rFonts w:ascii="微软雅黑" w:hAnsi="微软雅黑" w:eastAsia="微软雅黑"/>
                <w:color w:val="auto"/>
                <w:sz w:val="24"/>
                <w:szCs w:val="24"/>
              </w:rPr>
              <w:t>1617</w:t>
            </w:r>
            <w:r>
              <w:rPr>
                <w:rFonts w:hint="eastAsia" w:ascii="微软雅黑" w:hAnsi="微软雅黑" w:eastAsia="微软雅黑"/>
                <w:color w:val="auto"/>
                <w:sz w:val="24"/>
                <w:szCs w:val="24"/>
              </w:rPr>
              <w:t>号</w:t>
            </w:r>
          </w:p>
        </w:tc>
        <w:tc>
          <w:tcPr>
            <w:tcW w:w="3547" w:type="dxa"/>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预约、咨询：</w:t>
            </w:r>
            <w:r>
              <w:rPr>
                <w:rFonts w:ascii="微软雅黑" w:hAnsi="微软雅黑" w:eastAsia="微软雅黑"/>
                <w:color w:val="auto"/>
                <w:sz w:val="24"/>
                <w:szCs w:val="24"/>
              </w:rPr>
              <w:t>(028)87467888</w:t>
            </w:r>
          </w:p>
          <w:p>
            <w:pPr>
              <w:spacing w:line="400" w:lineRule="exact"/>
              <w:ind w:firstLine="1440" w:firstLineChars="600"/>
              <w:rPr>
                <w:rFonts w:ascii="微软雅黑" w:hAnsi="微软雅黑" w:eastAsia="微软雅黑"/>
                <w:color w:val="auto"/>
                <w:sz w:val="24"/>
                <w:szCs w:val="24"/>
              </w:rPr>
            </w:pPr>
            <w:r>
              <w:rPr>
                <w:rFonts w:ascii="微软雅黑" w:hAnsi="微软雅黑" w:eastAsia="微软雅黑"/>
                <w:color w:val="auto"/>
                <w:sz w:val="24"/>
                <w:szCs w:val="24"/>
              </w:rPr>
              <w:t>(028)61866186</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"http://www.wcch.cn/" </w:instrText>
            </w:r>
            <w:r>
              <w:rPr>
                <w:color w:val="auto"/>
              </w:rPr>
              <w:fldChar w:fldCharType="separate"/>
            </w:r>
            <w:r>
              <w:rPr>
                <w:rFonts w:ascii="微软雅黑" w:hAnsi="微软雅黑" w:eastAsia="微软雅黑"/>
                <w:color w:val="auto"/>
                <w:sz w:val="24"/>
                <w:szCs w:val="24"/>
              </w:rPr>
              <w:t>www.wcch.cn</w:t>
            </w:r>
            <w:r>
              <w:rPr>
                <w:rFonts w:ascii="微软雅黑" w:hAnsi="微软雅黑" w:eastAsia="微软雅黑"/>
                <w:color w:val="auto"/>
                <w:sz w:val="24"/>
                <w:szCs w:val="24"/>
              </w:rPr>
              <w:fldChar w:fldCharType="end"/>
            </w:r>
          </w:p>
        </w:tc>
        <w:tc>
          <w:tcPr>
            <w:tcW w:w="1276" w:type="dxa"/>
          </w:tcPr>
          <w:p>
            <w:pPr>
              <w:pStyle w:val="26"/>
              <w:spacing w:line="400" w:lineRule="exact"/>
              <w:jc w:val="both"/>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普</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通</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9278" w:type="dxa"/>
            <w:gridSpan w:val="4"/>
            <w:shd w:val="clear" w:color="auto" w:fill="A6C9E8"/>
            <w:vAlign w:val="center"/>
          </w:tcPr>
          <w:p>
            <w:pPr>
              <w:spacing w:line="400" w:lineRule="exact"/>
              <w:jc w:val="center"/>
              <w:rPr>
                <w:rFonts w:ascii="微软雅黑" w:hAnsi="微软雅黑" w:eastAsia="微软雅黑"/>
                <w:b/>
                <w:color w:val="auto"/>
                <w:sz w:val="24"/>
                <w:szCs w:val="24"/>
                <w:lang w:eastAsia="zh-TW"/>
              </w:rPr>
            </w:pPr>
            <w:r>
              <w:rPr>
                <w:rFonts w:hint="eastAsia" w:ascii="微软雅黑" w:hAnsi="微软雅黑" w:eastAsia="微软雅黑"/>
                <w:b/>
                <w:color w:val="auto"/>
                <w:sz w:val="24"/>
                <w:szCs w:val="24"/>
              </w:rPr>
              <w:t>私立</w:t>
            </w:r>
            <w:r>
              <w:rPr>
                <w:rFonts w:ascii="微软雅黑" w:hAnsi="微软雅黑" w:eastAsia="微软雅黑"/>
                <w:b/>
                <w:color w:val="auto"/>
                <w:sz w:val="24"/>
                <w:szCs w:val="24"/>
              </w:rPr>
              <w:t xml:space="preserve"> – </w:t>
            </w:r>
            <w:r>
              <w:rPr>
                <w:rFonts w:hint="eastAsia" w:ascii="微软雅黑" w:hAnsi="微软雅黑" w:eastAsia="微软雅黑"/>
                <w:b/>
                <w:color w:val="auto"/>
                <w:sz w:val="24"/>
                <w:szCs w:val="24"/>
              </w:rPr>
              <w:t>综合性医院</w:t>
            </w:r>
            <w:r>
              <w:rPr>
                <w:rFonts w:ascii="微软雅黑" w:hAnsi="微软雅黑" w:eastAsia="微软雅黑"/>
                <w:b/>
                <w:color w:val="auto"/>
                <w:sz w:val="24"/>
                <w:szCs w:val="24"/>
              </w:rPr>
              <w:t>&amp;</w:t>
            </w:r>
            <w:r>
              <w:rPr>
                <w:rFonts w:hint="eastAsia" w:ascii="微软雅黑" w:hAnsi="微软雅黑" w:eastAsia="微软雅黑"/>
                <w:b/>
                <w:color w:val="auto"/>
                <w:sz w:val="24"/>
                <w:szCs w:val="24"/>
              </w:rPr>
              <w:t>专科医院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2187"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成都西区医院</w:t>
            </w: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（全科）</w:t>
            </w:r>
          </w:p>
        </w:tc>
        <w:tc>
          <w:tcPr>
            <w:tcW w:w="2268"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成都市二环路西三段</w:t>
            </w:r>
            <w:r>
              <w:rPr>
                <w:rFonts w:ascii="微软雅黑" w:hAnsi="微软雅黑" w:eastAsia="微软雅黑"/>
                <w:color w:val="auto"/>
                <w:sz w:val="24"/>
                <w:szCs w:val="24"/>
              </w:rPr>
              <w:t>2</w:t>
            </w:r>
            <w:r>
              <w:rPr>
                <w:rFonts w:hint="eastAsia" w:ascii="微软雅黑" w:hAnsi="微软雅黑" w:eastAsia="微软雅黑"/>
                <w:color w:val="auto"/>
                <w:sz w:val="24"/>
                <w:szCs w:val="24"/>
              </w:rPr>
              <w:t>号</w:t>
            </w:r>
            <w:r>
              <w:rPr>
                <w:rFonts w:ascii="微软雅黑" w:hAnsi="微软雅黑" w:eastAsia="微软雅黑"/>
                <w:color w:val="auto"/>
                <w:sz w:val="24"/>
                <w:szCs w:val="24"/>
              </w:rPr>
              <w:t>(</w:t>
            </w:r>
            <w:r>
              <w:rPr>
                <w:rFonts w:hint="eastAsia" w:ascii="微软雅黑" w:hAnsi="微软雅黑" w:eastAsia="微软雅黑"/>
                <w:color w:val="auto"/>
                <w:sz w:val="24"/>
                <w:szCs w:val="24"/>
              </w:rPr>
              <w:t>蜀汉路口</w:t>
            </w:r>
            <w:r>
              <w:rPr>
                <w:rFonts w:ascii="微软雅黑" w:hAnsi="微软雅黑" w:eastAsia="微软雅黑"/>
                <w:color w:val="auto"/>
                <w:sz w:val="24"/>
                <w:szCs w:val="24"/>
              </w:rPr>
              <w:t>)</w:t>
            </w:r>
          </w:p>
        </w:tc>
        <w:tc>
          <w:tcPr>
            <w:tcW w:w="3547" w:type="dxa"/>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预约、咨询：</w:t>
            </w:r>
            <w:r>
              <w:rPr>
                <w:rFonts w:ascii="微软雅黑" w:hAnsi="微软雅黑" w:eastAsia="微软雅黑"/>
                <w:color w:val="auto"/>
                <w:sz w:val="24"/>
                <w:szCs w:val="24"/>
              </w:rPr>
              <w:t>(028)87565100</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"http://www.xqyy.cn/" </w:instrText>
            </w:r>
            <w:r>
              <w:rPr>
                <w:color w:val="auto"/>
              </w:rPr>
              <w:fldChar w:fldCharType="separate"/>
            </w:r>
            <w:r>
              <w:rPr>
                <w:rFonts w:ascii="微软雅黑" w:hAnsi="微软雅黑" w:eastAsia="微软雅黑"/>
                <w:color w:val="auto"/>
                <w:sz w:val="24"/>
                <w:szCs w:val="24"/>
              </w:rPr>
              <w:t>www.xqyy.cn</w:t>
            </w:r>
            <w:r>
              <w:rPr>
                <w:rFonts w:ascii="微软雅黑" w:hAnsi="微软雅黑" w:eastAsia="微软雅黑"/>
                <w:color w:val="auto"/>
                <w:sz w:val="24"/>
                <w:szCs w:val="24"/>
              </w:rPr>
              <w:fldChar w:fldCharType="end"/>
            </w:r>
          </w:p>
        </w:tc>
        <w:tc>
          <w:tcPr>
            <w:tcW w:w="1276" w:type="dxa"/>
          </w:tcPr>
          <w:p>
            <w:pPr>
              <w:pStyle w:val="26"/>
              <w:spacing w:line="400" w:lineRule="exact"/>
              <w:jc w:val="both"/>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普</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通</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6" w:hRule="atLeast"/>
          <w:jc w:val="center"/>
        </w:trPr>
        <w:tc>
          <w:tcPr>
            <w:tcW w:w="2187"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成都爱尔眼科医院</w:t>
            </w: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（眼科）</w:t>
            </w:r>
          </w:p>
        </w:tc>
        <w:tc>
          <w:tcPr>
            <w:tcW w:w="2268"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成都市一环路西一段</w:t>
            </w:r>
            <w:r>
              <w:rPr>
                <w:rFonts w:ascii="微软雅黑" w:hAnsi="微软雅黑" w:eastAsia="微软雅黑"/>
                <w:color w:val="auto"/>
                <w:sz w:val="24"/>
                <w:szCs w:val="24"/>
              </w:rPr>
              <w:t>115</w:t>
            </w:r>
            <w:r>
              <w:rPr>
                <w:rFonts w:hint="eastAsia" w:ascii="微软雅黑" w:hAnsi="微软雅黑" w:eastAsia="微软雅黑"/>
                <w:color w:val="auto"/>
                <w:sz w:val="24"/>
                <w:szCs w:val="24"/>
              </w:rPr>
              <w:t>号</w:t>
            </w:r>
            <w:r>
              <w:rPr>
                <w:rFonts w:ascii="微软雅黑" w:hAnsi="微软雅黑" w:eastAsia="微软雅黑"/>
                <w:color w:val="auto"/>
                <w:sz w:val="24"/>
                <w:szCs w:val="24"/>
              </w:rPr>
              <w:t>(</w:t>
            </w:r>
            <w:r>
              <w:rPr>
                <w:rFonts w:hint="eastAsia" w:ascii="微软雅黑" w:hAnsi="微软雅黑" w:eastAsia="微软雅黑"/>
                <w:color w:val="auto"/>
                <w:sz w:val="24"/>
                <w:szCs w:val="24"/>
              </w:rPr>
              <w:t>大石路口</w:t>
            </w:r>
            <w:r>
              <w:rPr>
                <w:rFonts w:ascii="微软雅黑" w:hAnsi="微软雅黑" w:eastAsia="微软雅黑"/>
                <w:color w:val="auto"/>
                <w:sz w:val="24"/>
                <w:szCs w:val="24"/>
              </w:rPr>
              <w:t>)</w:t>
            </w:r>
          </w:p>
        </w:tc>
        <w:tc>
          <w:tcPr>
            <w:tcW w:w="3547" w:type="dxa"/>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预约、咨询：</w:t>
            </w:r>
            <w:r>
              <w:rPr>
                <w:rFonts w:ascii="微软雅黑" w:hAnsi="微软雅黑" w:eastAsia="微软雅黑"/>
                <w:color w:val="auto"/>
                <w:sz w:val="24"/>
                <w:szCs w:val="24"/>
              </w:rPr>
              <w:t>(028)87010909</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"http://www.aier028.com/" </w:instrText>
            </w:r>
            <w:r>
              <w:rPr>
                <w:color w:val="auto"/>
              </w:rPr>
              <w:fldChar w:fldCharType="separate"/>
            </w:r>
            <w:r>
              <w:rPr>
                <w:rFonts w:ascii="微软雅黑" w:hAnsi="微软雅黑" w:eastAsia="微软雅黑"/>
                <w:color w:val="auto"/>
                <w:sz w:val="24"/>
                <w:szCs w:val="24"/>
              </w:rPr>
              <w:t>www.aier028.com</w:t>
            </w:r>
            <w:r>
              <w:rPr>
                <w:rFonts w:ascii="微软雅黑" w:hAnsi="微软雅黑" w:eastAsia="微软雅黑"/>
                <w:color w:val="auto"/>
                <w:sz w:val="24"/>
                <w:szCs w:val="24"/>
              </w:rPr>
              <w:fldChar w:fldCharType="end"/>
            </w:r>
          </w:p>
        </w:tc>
        <w:tc>
          <w:tcPr>
            <w:tcW w:w="1276" w:type="dxa"/>
          </w:tcPr>
          <w:p>
            <w:pPr>
              <w:pStyle w:val="26"/>
              <w:spacing w:line="400" w:lineRule="exact"/>
              <w:jc w:val="both"/>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普</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通</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jc w:val="center"/>
        </w:trPr>
        <w:tc>
          <w:tcPr>
            <w:tcW w:w="2187"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成都爱迪眼科医院</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（眼科）</w:t>
            </w:r>
          </w:p>
        </w:tc>
        <w:tc>
          <w:tcPr>
            <w:tcW w:w="2268"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成都市二环路西二段</w:t>
            </w:r>
            <w:r>
              <w:rPr>
                <w:rFonts w:ascii="微软雅黑" w:hAnsi="微软雅黑" w:eastAsia="微软雅黑"/>
                <w:color w:val="auto"/>
                <w:sz w:val="24"/>
                <w:szCs w:val="24"/>
              </w:rPr>
              <w:t>45</w:t>
            </w:r>
            <w:r>
              <w:rPr>
                <w:rFonts w:hint="eastAsia" w:ascii="微软雅黑" w:hAnsi="微软雅黑" w:eastAsia="微软雅黑"/>
                <w:color w:val="auto"/>
                <w:sz w:val="24"/>
                <w:szCs w:val="24"/>
              </w:rPr>
              <w:t>号</w:t>
            </w:r>
          </w:p>
        </w:tc>
        <w:tc>
          <w:tcPr>
            <w:tcW w:w="3547" w:type="dxa"/>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电话：</w:t>
            </w:r>
            <w:r>
              <w:rPr>
                <w:rFonts w:ascii="微软雅黑" w:hAnsi="微软雅黑" w:eastAsia="微软雅黑"/>
                <w:color w:val="auto"/>
                <w:sz w:val="24"/>
                <w:szCs w:val="24"/>
              </w:rPr>
              <w:t>4000280303</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"http://www.028aidi.com/" </w:instrText>
            </w:r>
            <w:r>
              <w:rPr>
                <w:color w:val="auto"/>
              </w:rPr>
              <w:fldChar w:fldCharType="separate"/>
            </w:r>
            <w:r>
              <w:rPr>
                <w:rFonts w:ascii="微软雅黑" w:hAnsi="微软雅黑" w:eastAsia="微软雅黑"/>
                <w:color w:val="auto"/>
                <w:sz w:val="24"/>
                <w:szCs w:val="24"/>
              </w:rPr>
              <w:t>www.028aidi.com</w:t>
            </w:r>
            <w:r>
              <w:rPr>
                <w:rFonts w:ascii="微软雅黑" w:hAnsi="微软雅黑" w:eastAsia="微软雅黑"/>
                <w:color w:val="auto"/>
                <w:sz w:val="24"/>
                <w:szCs w:val="24"/>
              </w:rPr>
              <w:fldChar w:fldCharType="end"/>
            </w:r>
          </w:p>
        </w:tc>
        <w:tc>
          <w:tcPr>
            <w:tcW w:w="1276" w:type="dxa"/>
          </w:tcPr>
          <w:p>
            <w:pPr>
              <w:pStyle w:val="26"/>
              <w:spacing w:line="400" w:lineRule="exact"/>
              <w:jc w:val="both"/>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普</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通</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jc w:val="center"/>
        </w:trPr>
        <w:tc>
          <w:tcPr>
            <w:tcW w:w="2187"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成都普瑞眼科医院</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（眼科）</w:t>
            </w:r>
          </w:p>
        </w:tc>
        <w:tc>
          <w:tcPr>
            <w:tcW w:w="2268"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成都市一环路北四段</w:t>
            </w:r>
            <w:r>
              <w:rPr>
                <w:rFonts w:ascii="微软雅黑" w:hAnsi="微软雅黑" w:eastAsia="微软雅黑"/>
                <w:color w:val="auto"/>
                <w:sz w:val="24"/>
                <w:szCs w:val="24"/>
              </w:rPr>
              <w:t>215</w:t>
            </w:r>
            <w:r>
              <w:rPr>
                <w:rFonts w:hint="eastAsia" w:ascii="微软雅黑" w:hAnsi="微软雅黑" w:eastAsia="微软雅黑"/>
                <w:color w:val="auto"/>
                <w:sz w:val="24"/>
                <w:szCs w:val="24"/>
              </w:rPr>
              <w:t>号</w:t>
            </w:r>
          </w:p>
        </w:tc>
        <w:tc>
          <w:tcPr>
            <w:tcW w:w="3547" w:type="dxa"/>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预约、咨询：</w:t>
            </w:r>
            <w:r>
              <w:rPr>
                <w:rFonts w:ascii="微软雅黑" w:hAnsi="微软雅黑" w:eastAsia="微软雅黑"/>
                <w:color w:val="auto"/>
                <w:sz w:val="24"/>
                <w:szCs w:val="24"/>
              </w:rPr>
              <w:t>4000800110</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"http://www.p028.com/" </w:instrText>
            </w:r>
            <w:r>
              <w:rPr>
                <w:color w:val="auto"/>
              </w:rPr>
              <w:fldChar w:fldCharType="separate"/>
            </w:r>
            <w:r>
              <w:rPr>
                <w:rFonts w:ascii="微软雅黑" w:hAnsi="微软雅黑" w:eastAsia="微软雅黑"/>
                <w:color w:val="auto"/>
                <w:sz w:val="24"/>
                <w:szCs w:val="24"/>
              </w:rPr>
              <w:t>www.p028.com</w:t>
            </w:r>
            <w:r>
              <w:rPr>
                <w:rFonts w:ascii="微软雅黑" w:hAnsi="微软雅黑" w:eastAsia="微软雅黑"/>
                <w:color w:val="auto"/>
                <w:sz w:val="24"/>
                <w:szCs w:val="24"/>
              </w:rPr>
              <w:fldChar w:fldCharType="end"/>
            </w:r>
          </w:p>
        </w:tc>
        <w:tc>
          <w:tcPr>
            <w:tcW w:w="1276" w:type="dxa"/>
          </w:tcPr>
          <w:p>
            <w:pPr>
              <w:pStyle w:val="26"/>
              <w:spacing w:line="400" w:lineRule="exact"/>
              <w:jc w:val="both"/>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普</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通</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7" w:hRule="atLeast"/>
          <w:jc w:val="center"/>
        </w:trPr>
        <w:tc>
          <w:tcPr>
            <w:tcW w:w="2187"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成都仁品耳鼻喉专科医院</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（耳鼻喉科）</w:t>
            </w:r>
          </w:p>
        </w:tc>
        <w:tc>
          <w:tcPr>
            <w:tcW w:w="2268"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成都市青羊区青华路</w:t>
            </w:r>
            <w:r>
              <w:rPr>
                <w:rFonts w:ascii="微软雅黑" w:hAnsi="微软雅黑" w:eastAsia="微软雅黑"/>
                <w:color w:val="auto"/>
                <w:sz w:val="24"/>
                <w:szCs w:val="24"/>
              </w:rPr>
              <w:t>51</w:t>
            </w:r>
            <w:r>
              <w:rPr>
                <w:rFonts w:hint="eastAsia" w:ascii="微软雅黑" w:hAnsi="微软雅黑" w:eastAsia="微软雅黑"/>
                <w:color w:val="auto"/>
                <w:sz w:val="24"/>
                <w:szCs w:val="24"/>
              </w:rPr>
              <w:t>号</w:t>
            </w:r>
          </w:p>
        </w:tc>
        <w:tc>
          <w:tcPr>
            <w:tcW w:w="3547" w:type="dxa"/>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预约、咨询：</w:t>
            </w:r>
            <w:r>
              <w:rPr>
                <w:rFonts w:ascii="微软雅黑" w:hAnsi="微软雅黑" w:eastAsia="微软雅黑"/>
                <w:color w:val="auto"/>
                <w:sz w:val="24"/>
                <w:szCs w:val="24"/>
              </w:rPr>
              <w:t>(028)87067816</w:t>
            </w:r>
          </w:p>
          <w:p>
            <w:pPr>
              <w:spacing w:line="36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"http://www.renpin120.com" </w:instrText>
            </w:r>
            <w:r>
              <w:rPr>
                <w:color w:val="auto"/>
              </w:rPr>
              <w:fldChar w:fldCharType="separate"/>
            </w:r>
            <w:r>
              <w:rPr>
                <w:rFonts w:ascii="微软雅黑" w:hAnsi="微软雅黑" w:eastAsia="微软雅黑"/>
                <w:color w:val="auto"/>
                <w:sz w:val="24"/>
                <w:szCs w:val="24"/>
              </w:rPr>
              <w:t>www.renpin120.com</w:t>
            </w:r>
            <w:r>
              <w:rPr>
                <w:rFonts w:ascii="微软雅黑" w:hAnsi="微软雅黑" w:eastAsia="微软雅黑"/>
                <w:color w:val="auto"/>
                <w:sz w:val="24"/>
                <w:szCs w:val="24"/>
              </w:rPr>
              <w:fldChar w:fldCharType="end"/>
            </w:r>
            <w:r>
              <w:rPr>
                <w:rFonts w:ascii="微软雅黑" w:hAnsi="微软雅黑" w:eastAsia="微软雅黑"/>
                <w:color w:val="auto"/>
                <w:sz w:val="24"/>
                <w:szCs w:val="24"/>
              </w:rPr>
              <w:t xml:space="preserve"> </w:t>
            </w:r>
          </w:p>
        </w:tc>
        <w:tc>
          <w:tcPr>
            <w:tcW w:w="1276" w:type="dxa"/>
          </w:tcPr>
          <w:p>
            <w:pPr>
              <w:pStyle w:val="26"/>
              <w:spacing w:line="400" w:lineRule="exact"/>
              <w:jc w:val="both"/>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普</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通</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1" w:hRule="atLeast"/>
          <w:jc w:val="center"/>
        </w:trPr>
        <w:tc>
          <w:tcPr>
            <w:tcW w:w="2187"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成都润禾皮肤病专科医院</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（皮肤科）</w:t>
            </w:r>
          </w:p>
        </w:tc>
        <w:tc>
          <w:tcPr>
            <w:tcW w:w="2268"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成都市科华北路</w:t>
            </w:r>
            <w:r>
              <w:rPr>
                <w:rFonts w:ascii="微软雅黑" w:hAnsi="微软雅黑" w:eastAsia="微软雅黑"/>
                <w:color w:val="auto"/>
                <w:sz w:val="24"/>
                <w:szCs w:val="24"/>
              </w:rPr>
              <w:t>32</w:t>
            </w:r>
            <w:r>
              <w:rPr>
                <w:rFonts w:hint="eastAsia" w:ascii="微软雅黑" w:hAnsi="微软雅黑" w:eastAsia="微软雅黑"/>
                <w:color w:val="auto"/>
                <w:sz w:val="24"/>
                <w:szCs w:val="24"/>
              </w:rPr>
              <w:t>号</w:t>
            </w:r>
          </w:p>
        </w:tc>
        <w:tc>
          <w:tcPr>
            <w:tcW w:w="3547" w:type="dxa"/>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服务热线：</w:t>
            </w:r>
            <w:r>
              <w:rPr>
                <w:rFonts w:ascii="微软雅黑" w:hAnsi="微软雅黑" w:eastAsia="微软雅黑"/>
                <w:color w:val="auto"/>
                <w:sz w:val="24"/>
                <w:szCs w:val="24"/>
              </w:rPr>
              <w:t>(028)85215666</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"http://www.cdrunhe.com/" </w:instrText>
            </w:r>
            <w:r>
              <w:rPr>
                <w:color w:val="auto"/>
              </w:rPr>
              <w:fldChar w:fldCharType="separate"/>
            </w:r>
            <w:r>
              <w:rPr>
                <w:rFonts w:ascii="微软雅黑" w:hAnsi="微软雅黑" w:eastAsia="微软雅黑"/>
                <w:color w:val="auto"/>
                <w:sz w:val="24"/>
                <w:szCs w:val="24"/>
              </w:rPr>
              <w:t>www.cdrunhe.com</w:t>
            </w:r>
            <w:r>
              <w:rPr>
                <w:rFonts w:ascii="微软雅黑" w:hAnsi="微软雅黑" w:eastAsia="微软雅黑"/>
                <w:color w:val="auto"/>
                <w:sz w:val="24"/>
                <w:szCs w:val="24"/>
              </w:rPr>
              <w:fldChar w:fldCharType="end"/>
            </w:r>
            <w:r>
              <w:rPr>
                <w:rFonts w:ascii="微软雅黑" w:hAnsi="微软雅黑" w:eastAsia="微软雅黑"/>
                <w:color w:val="auto"/>
                <w:sz w:val="24"/>
                <w:szCs w:val="24"/>
              </w:rPr>
              <w:t xml:space="preserve"> </w:t>
            </w:r>
          </w:p>
        </w:tc>
        <w:tc>
          <w:tcPr>
            <w:tcW w:w="1276" w:type="dxa"/>
          </w:tcPr>
          <w:p>
            <w:pPr>
              <w:pStyle w:val="26"/>
              <w:spacing w:line="400" w:lineRule="exact"/>
              <w:jc w:val="both"/>
              <w:rPr>
                <w:rFonts w:ascii="微软雅黑" w:hAnsi="微软雅黑" w:eastAsia="微软雅黑" w:cs="Times New Roman"/>
                <w:color w:val="auto"/>
                <w:kern w:val="2"/>
                <w:lang w:eastAsia="zh-TW"/>
              </w:rPr>
            </w:pPr>
            <w:r>
              <w:rPr>
                <w:rFonts w:hint="eastAsia" w:ascii="微软雅黑" w:hAnsi="微软雅黑" w:eastAsia="微软雅黑" w:cs="Times New Roman"/>
                <w:color w:val="auto"/>
                <w:kern w:val="2"/>
              </w:rPr>
              <w:t>普</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通</w:t>
            </w:r>
            <w:r>
              <w:rPr>
                <w:rFonts w:ascii="微软雅黑" w:hAnsi="微软雅黑" w:eastAsia="微软雅黑" w:cs="Times New Roman"/>
                <w:color w:val="auto"/>
                <w:kern w:val="2"/>
              </w:rPr>
              <w:t xml:space="preserve"> </w:t>
            </w:r>
            <w:r>
              <w:rPr>
                <w:rFonts w:hint="eastAsia" w:ascii="微软雅黑" w:hAnsi="微软雅黑" w:eastAsia="微软雅黑" w:cs="Times New Roman"/>
                <w:color w:val="auto"/>
                <w:kern w:val="2"/>
              </w:rPr>
              <w:t>话</w:t>
            </w:r>
          </w:p>
        </w:tc>
      </w:tr>
    </w:tbl>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紧急救助指南</w:t>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lang w:eastAsia="zh-TW"/>
        </w:rPr>
      </w:pPr>
      <w:r>
        <w:rPr>
          <w:rFonts w:ascii="微软雅黑" w:hAnsi="微软雅黑" w:eastAsia="微软雅黑"/>
          <w:b/>
          <w:color w:val="auto"/>
          <w:sz w:val="24"/>
          <w:szCs w:val="24"/>
          <w:u w:val="single"/>
        </w:rPr>
        <w:t>120</w:t>
      </w:r>
      <w:r>
        <w:rPr>
          <w:rFonts w:hint="eastAsia" w:ascii="微软雅黑" w:hAnsi="微软雅黑" w:eastAsia="微软雅黑"/>
          <w:b/>
          <w:color w:val="auto"/>
          <w:sz w:val="24"/>
          <w:szCs w:val="24"/>
          <w:u w:val="single"/>
        </w:rPr>
        <w:t>急救热线</w:t>
      </w:r>
    </w:p>
    <w:p>
      <w:pPr>
        <w:autoSpaceDE w:val="0"/>
        <w:autoSpaceDN w:val="0"/>
        <w:adjustRightInd w:val="0"/>
        <w:spacing w:before="234" w:beforeLines="75" w:line="400" w:lineRule="exact"/>
        <w:rPr>
          <w:rFonts w:ascii="微软雅黑" w:hAnsi="微软雅黑" w:eastAsia="微软雅黑" w:cs="......."/>
          <w:color w:val="auto"/>
          <w:sz w:val="24"/>
          <w:szCs w:val="24"/>
        </w:rPr>
      </w:pPr>
      <w:r>
        <w:rPr>
          <w:rFonts w:hint="eastAsia" w:ascii="微软雅黑" w:hAnsi="微软雅黑" w:eastAsia="微软雅黑" w:cs="......."/>
          <w:color w:val="auto"/>
          <w:sz w:val="24"/>
          <w:szCs w:val="24"/>
        </w:rPr>
        <w:t>成都市急救指挥中心建于</w:t>
      </w:r>
      <w:r>
        <w:rPr>
          <w:rFonts w:ascii="微软雅黑" w:hAnsi="微软雅黑" w:eastAsia="微软雅黑" w:cs="......."/>
          <w:color w:val="auto"/>
          <w:sz w:val="24"/>
          <w:szCs w:val="24"/>
        </w:rPr>
        <w:t>1997</w:t>
      </w:r>
      <w:r>
        <w:rPr>
          <w:rFonts w:hint="eastAsia" w:ascii="微软雅黑" w:hAnsi="微软雅黑" w:eastAsia="微软雅黑" w:cs="......."/>
          <w:color w:val="auto"/>
          <w:sz w:val="24"/>
          <w:szCs w:val="24"/>
        </w:rPr>
        <w:t>年</w:t>
      </w:r>
      <w:r>
        <w:rPr>
          <w:rFonts w:ascii="微软雅黑" w:hAnsi="微软雅黑" w:eastAsia="微软雅黑" w:cs="......."/>
          <w:color w:val="auto"/>
          <w:sz w:val="24"/>
          <w:szCs w:val="24"/>
        </w:rPr>
        <w:t>6</w:t>
      </w:r>
      <w:r>
        <w:rPr>
          <w:rFonts w:hint="eastAsia" w:ascii="微软雅黑" w:hAnsi="微软雅黑" w:eastAsia="微软雅黑" w:cs="......."/>
          <w:color w:val="auto"/>
          <w:sz w:val="24"/>
          <w:szCs w:val="24"/>
        </w:rPr>
        <w:t>月，承担成都市区（市）县和高新区社会急救医疗的组织协调、调度指挥、应急处置和急救培训任务，详情可参考成都市急救中心网站（</w:t>
      </w:r>
      <w:r>
        <w:rPr>
          <w:color w:val="auto"/>
        </w:rPr>
        <w:fldChar w:fldCharType="begin"/>
      </w:r>
      <w:r>
        <w:rPr>
          <w:color w:val="auto"/>
        </w:rPr>
        <w:instrText xml:space="preserve"> HYPERLINK "http://chengdu.emss.cn/" </w:instrText>
      </w:r>
      <w:r>
        <w:rPr>
          <w:color w:val="auto"/>
        </w:rPr>
        <w:fldChar w:fldCharType="separate"/>
      </w:r>
      <w:r>
        <w:rPr>
          <w:rFonts w:ascii="微软雅黑" w:hAnsi="微软雅黑" w:eastAsia="微软雅黑" w:cs="......."/>
          <w:color w:val="auto"/>
          <w:sz w:val="24"/>
          <w:szCs w:val="24"/>
        </w:rPr>
        <w:t>http://chengdu.emss.cn</w:t>
      </w:r>
      <w:r>
        <w:rPr>
          <w:rFonts w:ascii="微软雅黑" w:hAnsi="微软雅黑" w:eastAsia="微软雅黑" w:cs="......."/>
          <w:color w:val="auto"/>
          <w:sz w:val="24"/>
          <w:szCs w:val="24"/>
        </w:rPr>
        <w:fldChar w:fldCharType="end"/>
      </w:r>
      <w:r>
        <w:rPr>
          <w:rFonts w:hint="eastAsia" w:ascii="微软雅黑" w:hAnsi="微软雅黑" w:eastAsia="微软雅黑"/>
          <w:color w:val="auto"/>
          <w:sz w:val="24"/>
          <w:szCs w:val="24"/>
        </w:rPr>
        <w:t>）。</w:t>
      </w:r>
    </w:p>
    <w:p>
      <w:pPr>
        <w:pStyle w:val="28"/>
        <w:numPr>
          <w:ilvl w:val="0"/>
          <w:numId w:val="4"/>
        </w:numPr>
        <w:spacing w:before="312" w:beforeLines="100" w:line="400" w:lineRule="exact"/>
        <w:ind w:left="480" w:hanging="480" w:hangingChars="200"/>
        <w:rPr>
          <w:rFonts w:ascii="微软雅黑" w:hAnsi="微软雅黑" w:eastAsia="微软雅黑"/>
          <w:b/>
          <w:color w:val="auto"/>
          <w:sz w:val="24"/>
          <w:szCs w:val="24"/>
          <w:u w:val="single"/>
          <w:lang w:eastAsia="zh-TW"/>
        </w:rPr>
      </w:pPr>
      <w:r>
        <w:rPr>
          <w:rFonts w:hint="eastAsia" w:ascii="微软雅黑" w:hAnsi="微软雅黑" w:eastAsia="微软雅黑"/>
          <w:b/>
          <w:color w:val="auto"/>
          <w:sz w:val="24"/>
          <w:szCs w:val="24"/>
          <w:u w:val="single"/>
        </w:rPr>
        <w:t>医院急救热线</w:t>
      </w:r>
    </w:p>
    <w:p>
      <w:pPr>
        <w:autoSpaceDE w:val="0"/>
        <w:autoSpaceDN w:val="0"/>
        <w:adjustRightInd w:val="0"/>
        <w:spacing w:before="312" w:beforeLines="100" w:line="400" w:lineRule="exact"/>
        <w:rPr>
          <w:rFonts w:ascii="微软雅黑" w:hAnsi="微软雅黑" w:eastAsia="微软雅黑" w:cs="......."/>
          <w:color w:val="auto"/>
          <w:sz w:val="24"/>
          <w:szCs w:val="24"/>
        </w:rPr>
      </w:pPr>
      <w:r>
        <w:rPr>
          <w:rFonts w:hint="eastAsia" w:ascii="微软雅黑" w:hAnsi="微软雅黑" w:eastAsia="微软雅黑" w:cs="......."/>
          <w:color w:val="auto"/>
          <w:sz w:val="24"/>
          <w:szCs w:val="24"/>
        </w:rPr>
        <w:t>除了全市统一的急救热线外，个别医院提供专门的急救热线以供选择。详细讯息可参考各医院的官方网站。</w:t>
      </w:r>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前往高原地区慎防高原反应</w:t>
      </w:r>
    </w:p>
    <w:p>
      <w:pPr>
        <w:autoSpaceDE w:val="0"/>
        <w:autoSpaceDN w:val="0"/>
        <w:adjustRightInd w:val="0"/>
        <w:spacing w:before="312" w:beforeLines="100" w:after="156" w:afterLines="50" w:line="400" w:lineRule="exact"/>
        <w:rPr>
          <w:rFonts w:ascii="微软雅黑" w:hAnsi="微软雅黑" w:eastAsia="微软雅黑" w:cs="......."/>
          <w:color w:val="auto"/>
          <w:sz w:val="24"/>
          <w:szCs w:val="24"/>
        </w:rPr>
      </w:pPr>
      <w:r>
        <w:rPr>
          <w:rFonts w:hint="eastAsia" w:ascii="微软雅黑" w:hAnsi="微软雅黑" w:eastAsia="微软雅黑" w:cs="......."/>
          <w:color w:val="auto"/>
          <w:sz w:val="24"/>
          <w:szCs w:val="24"/>
        </w:rPr>
        <w:t>前往高原地</w:t>
      </w:r>
      <w:r>
        <w:rPr>
          <w:rFonts w:hint="cs" w:ascii="微软雅黑" w:hAnsi="微软雅黑" w:eastAsia="微软雅黑" w:cs="......."/>
          <w:color w:val="auto"/>
          <w:sz w:val="24"/>
          <w:szCs w:val="24"/>
        </w:rPr>
        <w:t>区</w:t>
      </w:r>
      <w:r>
        <w:rPr>
          <w:rFonts w:hint="eastAsia" w:ascii="微软雅黑" w:hAnsi="微软雅黑" w:eastAsia="微软雅黑" w:cs="......."/>
          <w:color w:val="auto"/>
          <w:sz w:val="24"/>
          <w:szCs w:val="24"/>
        </w:rPr>
        <w:t>人士要注意</w:t>
      </w:r>
      <w:r>
        <w:rPr>
          <w:rFonts w:hint="cs" w:ascii="微软雅黑" w:hAnsi="微软雅黑" w:eastAsia="微软雅黑" w:cs="......."/>
          <w:color w:val="auto"/>
          <w:sz w:val="24"/>
          <w:szCs w:val="24"/>
        </w:rPr>
        <w:t>预</w:t>
      </w:r>
      <w:r>
        <w:rPr>
          <w:rFonts w:hint="eastAsia" w:ascii="微软雅黑" w:hAnsi="微软雅黑" w:eastAsia="微软雅黑" w:cs="......."/>
          <w:color w:val="auto"/>
          <w:sz w:val="24"/>
          <w:szCs w:val="24"/>
        </w:rPr>
        <w:t>防高原反</w:t>
      </w:r>
      <w:r>
        <w:rPr>
          <w:rFonts w:hint="cs" w:ascii="微软雅黑" w:hAnsi="微软雅黑" w:eastAsia="微软雅黑" w:cs="......."/>
          <w:color w:val="auto"/>
          <w:sz w:val="24"/>
          <w:szCs w:val="24"/>
        </w:rPr>
        <w:t>应</w:t>
      </w:r>
      <w:r>
        <w:rPr>
          <w:rFonts w:hint="eastAsia" w:ascii="微软雅黑" w:hAnsi="微软雅黑" w:eastAsia="微软雅黑" w:cs="......."/>
          <w:color w:val="auto"/>
          <w:sz w:val="24"/>
          <w:szCs w:val="24"/>
        </w:rPr>
        <w:t>：</w:t>
      </w:r>
    </w:p>
    <w:p>
      <w:pPr>
        <w:widowControl/>
        <w:numPr>
          <w:ilvl w:val="0"/>
          <w:numId w:val="20"/>
        </w:numPr>
        <w:autoSpaceDE w:val="0"/>
        <w:autoSpaceDN w:val="0"/>
        <w:adjustRightInd w:val="0"/>
        <w:spacing w:after="100" w:afterAutospacing="1" w:line="400" w:lineRule="exact"/>
        <w:jc w:val="left"/>
        <w:rPr>
          <w:rFonts w:ascii="微软雅黑" w:hAnsi="微软雅黑" w:eastAsia="微软雅黑" w:cs="......."/>
          <w:color w:val="auto"/>
          <w:kern w:val="0"/>
          <w:sz w:val="24"/>
          <w:szCs w:val="24"/>
          <w:lang w:eastAsia="zh-TW"/>
        </w:rPr>
      </w:pPr>
      <w:r>
        <w:rPr>
          <w:rFonts w:hint="eastAsia" w:ascii="微软雅黑" w:hAnsi="微软雅黑" w:eastAsia="微软雅黑" w:cs="......."/>
          <w:color w:val="auto"/>
          <w:kern w:val="0"/>
          <w:sz w:val="24"/>
          <w:szCs w:val="24"/>
        </w:rPr>
        <w:t>心、肺、</w:t>
      </w:r>
      <w:r>
        <w:rPr>
          <w:rFonts w:hint="cs" w:ascii="微软雅黑" w:hAnsi="微软雅黑" w:eastAsia="微软雅黑" w:cs="......."/>
          <w:color w:val="auto"/>
          <w:kern w:val="0"/>
          <w:sz w:val="24"/>
          <w:szCs w:val="24"/>
        </w:rPr>
        <w:t>脑</w:t>
      </w:r>
      <w:r>
        <w:rPr>
          <w:rFonts w:hint="eastAsia" w:ascii="微软雅黑" w:hAnsi="微软雅黑" w:eastAsia="微软雅黑" w:cs="......."/>
          <w:color w:val="auto"/>
          <w:kern w:val="0"/>
          <w:sz w:val="24"/>
          <w:szCs w:val="24"/>
        </w:rPr>
        <w:t>和循</w:t>
      </w:r>
      <w:r>
        <w:rPr>
          <w:rFonts w:hint="cs" w:ascii="微软雅黑" w:hAnsi="微软雅黑" w:eastAsia="微软雅黑" w:cs="......."/>
          <w:color w:val="auto"/>
          <w:kern w:val="0"/>
          <w:sz w:val="24"/>
          <w:szCs w:val="24"/>
        </w:rPr>
        <w:t>环</w:t>
      </w:r>
      <w:r>
        <w:rPr>
          <w:rFonts w:hint="eastAsia" w:ascii="微软雅黑" w:hAnsi="微软雅黑" w:eastAsia="微软雅黑" w:cs="......."/>
          <w:color w:val="auto"/>
          <w:kern w:val="0"/>
          <w:sz w:val="24"/>
          <w:szCs w:val="24"/>
        </w:rPr>
        <w:t>系</w:t>
      </w:r>
      <w:r>
        <w:rPr>
          <w:rFonts w:hint="cs" w:ascii="微软雅黑" w:hAnsi="微软雅黑" w:eastAsia="微软雅黑" w:cs="......."/>
          <w:color w:val="auto"/>
          <w:kern w:val="0"/>
          <w:sz w:val="24"/>
          <w:szCs w:val="24"/>
        </w:rPr>
        <w:t>统</w:t>
      </w:r>
      <w:r>
        <w:rPr>
          <w:rFonts w:hint="eastAsia" w:ascii="微软雅黑" w:hAnsi="微软雅黑" w:eastAsia="微软雅黑" w:cs="......."/>
          <w:color w:val="auto"/>
          <w:kern w:val="0"/>
          <w:sz w:val="24"/>
          <w:szCs w:val="24"/>
        </w:rPr>
        <w:t>疾病患者，不宜前往高原地</w:t>
      </w:r>
      <w:r>
        <w:rPr>
          <w:rFonts w:hint="cs" w:ascii="微软雅黑" w:hAnsi="微软雅黑" w:eastAsia="微软雅黑" w:cs="......."/>
          <w:color w:val="auto"/>
          <w:kern w:val="0"/>
          <w:sz w:val="24"/>
          <w:szCs w:val="24"/>
        </w:rPr>
        <w:t>区</w:t>
      </w:r>
      <w:r>
        <w:rPr>
          <w:rFonts w:hint="eastAsia" w:ascii="微软雅黑" w:hAnsi="微软雅黑" w:eastAsia="微软雅黑" w:cs="......."/>
          <w:color w:val="auto"/>
          <w:kern w:val="0"/>
          <w:sz w:val="24"/>
          <w:szCs w:val="24"/>
        </w:rPr>
        <w:t>，感冒患者宜在康复后才前往；</w:t>
      </w:r>
    </w:p>
    <w:p>
      <w:pPr>
        <w:widowControl/>
        <w:numPr>
          <w:ilvl w:val="0"/>
          <w:numId w:val="20"/>
        </w:numPr>
        <w:autoSpaceDE w:val="0"/>
        <w:autoSpaceDN w:val="0"/>
        <w:adjustRightInd w:val="0"/>
        <w:spacing w:after="100" w:afterAutospacing="1" w:line="400" w:lineRule="exact"/>
        <w:jc w:val="left"/>
        <w:rPr>
          <w:rFonts w:ascii="微软雅黑" w:hAnsi="微软雅黑" w:eastAsia="微软雅黑" w:cs="......."/>
          <w:color w:val="auto"/>
          <w:kern w:val="0"/>
          <w:sz w:val="24"/>
          <w:szCs w:val="24"/>
          <w:lang w:eastAsia="zh-TW"/>
        </w:rPr>
      </w:pPr>
      <w:r>
        <w:rPr>
          <w:rFonts w:hint="eastAsia" w:ascii="微软雅黑" w:hAnsi="微软雅黑" w:eastAsia="微软雅黑" w:cs="......."/>
          <w:color w:val="auto"/>
          <w:kern w:val="0"/>
          <w:sz w:val="24"/>
          <w:szCs w:val="24"/>
        </w:rPr>
        <w:t>初到高原，不要做</w:t>
      </w:r>
      <w:r>
        <w:rPr>
          <w:rFonts w:hint="cs" w:ascii="微软雅黑" w:hAnsi="微软雅黑" w:eastAsia="微软雅黑" w:cs="......."/>
          <w:color w:val="auto"/>
          <w:kern w:val="0"/>
          <w:sz w:val="24"/>
          <w:szCs w:val="24"/>
        </w:rPr>
        <w:t>剧</w:t>
      </w:r>
      <w:r>
        <w:rPr>
          <w:rFonts w:hint="eastAsia" w:ascii="微软雅黑" w:hAnsi="微软雅黑" w:eastAsia="微软雅黑" w:cs="......."/>
          <w:color w:val="auto"/>
          <w:kern w:val="0"/>
          <w:sz w:val="24"/>
          <w:szCs w:val="24"/>
        </w:rPr>
        <w:t>烈</w:t>
      </w:r>
      <w:r>
        <w:rPr>
          <w:rFonts w:hint="cs" w:ascii="微软雅黑" w:hAnsi="微软雅黑" w:eastAsia="微软雅黑" w:cs="......."/>
          <w:color w:val="auto"/>
          <w:kern w:val="0"/>
          <w:sz w:val="24"/>
          <w:szCs w:val="24"/>
        </w:rPr>
        <w:t>运动</w:t>
      </w:r>
      <w:r>
        <w:rPr>
          <w:rFonts w:hint="eastAsia" w:ascii="微软雅黑" w:hAnsi="微软雅黑" w:eastAsia="微软雅黑" w:cs="......."/>
          <w:color w:val="auto"/>
          <w:kern w:val="0"/>
          <w:sz w:val="24"/>
          <w:szCs w:val="24"/>
        </w:rPr>
        <w:t>，日常活</w:t>
      </w:r>
      <w:r>
        <w:rPr>
          <w:rFonts w:hint="cs" w:ascii="微软雅黑" w:hAnsi="微软雅黑" w:eastAsia="微软雅黑" w:cs="......."/>
          <w:color w:val="auto"/>
          <w:kern w:val="0"/>
          <w:sz w:val="24"/>
          <w:szCs w:val="24"/>
        </w:rPr>
        <w:t>动</w:t>
      </w:r>
      <w:r>
        <w:rPr>
          <w:rFonts w:hint="eastAsia" w:ascii="微软雅黑" w:hAnsi="微软雅黑" w:eastAsia="微软雅黑" w:cs="......."/>
          <w:color w:val="auto"/>
          <w:kern w:val="0"/>
          <w:sz w:val="24"/>
          <w:szCs w:val="24"/>
        </w:rPr>
        <w:t>亦宜</w:t>
      </w:r>
      <w:r>
        <w:rPr>
          <w:rFonts w:hint="cs" w:ascii="微软雅黑" w:hAnsi="微软雅黑" w:eastAsia="微软雅黑" w:cs="......."/>
          <w:color w:val="auto"/>
          <w:kern w:val="0"/>
          <w:sz w:val="24"/>
          <w:szCs w:val="24"/>
        </w:rPr>
        <w:t>减</w:t>
      </w:r>
      <w:r>
        <w:rPr>
          <w:rFonts w:hint="eastAsia" w:ascii="微软雅黑" w:hAnsi="微软雅黑" w:eastAsia="微软雅黑" w:cs="......."/>
          <w:color w:val="auto"/>
          <w:kern w:val="0"/>
          <w:sz w:val="24"/>
          <w:szCs w:val="24"/>
        </w:rPr>
        <w:t>慢，以</w:t>
      </w:r>
      <w:r>
        <w:rPr>
          <w:rFonts w:hint="cs" w:ascii="微软雅黑" w:hAnsi="微软雅黑" w:eastAsia="微软雅黑" w:cs="......."/>
          <w:color w:val="auto"/>
          <w:kern w:val="0"/>
          <w:sz w:val="24"/>
          <w:szCs w:val="24"/>
        </w:rPr>
        <w:t>减轻</w:t>
      </w:r>
      <w:r>
        <w:rPr>
          <w:rFonts w:hint="eastAsia" w:ascii="微软雅黑" w:hAnsi="微软雅黑" w:eastAsia="微软雅黑" w:cs="......."/>
          <w:color w:val="auto"/>
          <w:kern w:val="0"/>
          <w:sz w:val="24"/>
          <w:szCs w:val="24"/>
        </w:rPr>
        <w:t>心肺</w:t>
      </w:r>
      <w:r>
        <w:rPr>
          <w:rFonts w:hint="cs" w:ascii="微软雅黑" w:hAnsi="微软雅黑" w:eastAsia="微软雅黑" w:cs="......."/>
          <w:color w:val="auto"/>
          <w:kern w:val="0"/>
          <w:sz w:val="24"/>
          <w:szCs w:val="24"/>
        </w:rPr>
        <w:t>负担</w:t>
      </w:r>
      <w:r>
        <w:rPr>
          <w:rFonts w:hint="eastAsia" w:ascii="微软雅黑" w:hAnsi="微软雅黑" w:eastAsia="微软雅黑" w:cs="......."/>
          <w:color w:val="auto"/>
          <w:kern w:val="0"/>
          <w:sz w:val="24"/>
          <w:szCs w:val="24"/>
        </w:rPr>
        <w:t>；</w:t>
      </w:r>
    </w:p>
    <w:p>
      <w:pPr>
        <w:widowControl/>
        <w:numPr>
          <w:ilvl w:val="0"/>
          <w:numId w:val="20"/>
        </w:numPr>
        <w:autoSpaceDE w:val="0"/>
        <w:autoSpaceDN w:val="0"/>
        <w:adjustRightInd w:val="0"/>
        <w:spacing w:after="100" w:afterAutospacing="1" w:line="400" w:lineRule="exact"/>
        <w:jc w:val="left"/>
        <w:rPr>
          <w:rFonts w:ascii="微软雅黑" w:hAnsi="微软雅黑" w:eastAsia="微软雅黑" w:cs="......."/>
          <w:color w:val="auto"/>
          <w:kern w:val="0"/>
          <w:sz w:val="24"/>
          <w:szCs w:val="24"/>
          <w:lang w:eastAsia="zh-TW"/>
        </w:rPr>
      </w:pPr>
      <w:r>
        <w:rPr>
          <w:rFonts w:hint="eastAsia" w:ascii="微软雅黑" w:hAnsi="微软雅黑" w:eastAsia="微软雅黑" w:cs="......."/>
          <w:color w:val="auto"/>
          <w:kern w:val="0"/>
          <w:sz w:val="24"/>
          <w:szCs w:val="24"/>
        </w:rPr>
        <w:t>最好不要抽</w:t>
      </w:r>
      <w:r>
        <w:rPr>
          <w:rFonts w:hint="cs" w:ascii="微软雅黑" w:hAnsi="微软雅黑" w:eastAsia="微软雅黑" w:cs="......."/>
          <w:color w:val="auto"/>
          <w:kern w:val="0"/>
          <w:sz w:val="24"/>
          <w:szCs w:val="24"/>
        </w:rPr>
        <w:t>烟饮</w:t>
      </w:r>
      <w:r>
        <w:rPr>
          <w:rFonts w:hint="eastAsia" w:ascii="微软雅黑" w:hAnsi="微软雅黑" w:eastAsia="微软雅黑" w:cs="......."/>
          <w:color w:val="auto"/>
          <w:kern w:val="0"/>
          <w:sz w:val="24"/>
          <w:szCs w:val="24"/>
        </w:rPr>
        <w:t>酒，</w:t>
      </w:r>
      <w:r>
        <w:rPr>
          <w:rFonts w:hint="cs" w:ascii="微软雅黑" w:hAnsi="微软雅黑" w:eastAsia="微软雅黑" w:cs="......."/>
          <w:color w:val="auto"/>
          <w:kern w:val="0"/>
          <w:sz w:val="24"/>
          <w:szCs w:val="24"/>
        </w:rPr>
        <w:t>预</w:t>
      </w:r>
      <w:r>
        <w:rPr>
          <w:rFonts w:hint="eastAsia" w:ascii="微软雅黑" w:hAnsi="微软雅黑" w:eastAsia="微软雅黑" w:cs="......."/>
          <w:color w:val="auto"/>
          <w:kern w:val="0"/>
          <w:sz w:val="24"/>
          <w:szCs w:val="24"/>
        </w:rPr>
        <w:t>防呼吸道受感染；</w:t>
      </w:r>
    </w:p>
    <w:p>
      <w:pPr>
        <w:widowControl/>
        <w:numPr>
          <w:ilvl w:val="0"/>
          <w:numId w:val="20"/>
        </w:numPr>
        <w:autoSpaceDE w:val="0"/>
        <w:autoSpaceDN w:val="0"/>
        <w:adjustRightInd w:val="0"/>
        <w:spacing w:after="100" w:afterAutospacing="1" w:line="400" w:lineRule="exact"/>
        <w:jc w:val="left"/>
        <w:rPr>
          <w:rFonts w:ascii="微软雅黑" w:hAnsi="微软雅黑" w:eastAsia="微软雅黑" w:cs="......."/>
          <w:color w:val="auto"/>
          <w:kern w:val="0"/>
          <w:sz w:val="24"/>
          <w:szCs w:val="24"/>
          <w:lang w:eastAsia="zh-TW"/>
        </w:rPr>
      </w:pPr>
      <w:r>
        <w:rPr>
          <w:rFonts w:hint="eastAsia" w:ascii="微软雅黑" w:hAnsi="微软雅黑" w:eastAsia="微软雅黑" w:cs="......."/>
          <w:color w:val="auto"/>
          <w:kern w:val="0"/>
          <w:sz w:val="24"/>
          <w:szCs w:val="24"/>
        </w:rPr>
        <w:t>高原地</w:t>
      </w:r>
      <w:r>
        <w:rPr>
          <w:rFonts w:hint="cs" w:ascii="微软雅黑" w:hAnsi="微软雅黑" w:eastAsia="微软雅黑" w:cs="......."/>
          <w:color w:val="auto"/>
          <w:kern w:val="0"/>
          <w:sz w:val="24"/>
          <w:szCs w:val="24"/>
        </w:rPr>
        <w:t>区</w:t>
      </w:r>
      <w:r>
        <w:rPr>
          <w:rFonts w:hint="eastAsia" w:ascii="微软雅黑" w:hAnsi="微软雅黑" w:eastAsia="微软雅黑" w:cs="......."/>
          <w:color w:val="auto"/>
          <w:kern w:val="0"/>
          <w:sz w:val="24"/>
          <w:szCs w:val="24"/>
        </w:rPr>
        <w:t>气候多</w:t>
      </w:r>
      <w:r>
        <w:rPr>
          <w:rFonts w:hint="cs" w:ascii="微软雅黑" w:hAnsi="微软雅黑" w:eastAsia="微软雅黑" w:cs="......."/>
          <w:color w:val="auto"/>
          <w:kern w:val="0"/>
          <w:sz w:val="24"/>
          <w:szCs w:val="24"/>
        </w:rPr>
        <w:t>变</w:t>
      </w:r>
      <w:r>
        <w:rPr>
          <w:rFonts w:hint="eastAsia" w:ascii="微软雅黑" w:hAnsi="微软雅黑" w:eastAsia="微软雅黑" w:cs="......."/>
          <w:color w:val="auto"/>
          <w:kern w:val="0"/>
          <w:sz w:val="24"/>
          <w:szCs w:val="24"/>
        </w:rPr>
        <w:t>，早晚气</w:t>
      </w:r>
      <w:r>
        <w:rPr>
          <w:rFonts w:hint="cs" w:ascii="微软雅黑" w:hAnsi="微软雅黑" w:eastAsia="微软雅黑" w:cs="......."/>
          <w:color w:val="auto"/>
          <w:kern w:val="0"/>
          <w:sz w:val="24"/>
          <w:szCs w:val="24"/>
        </w:rPr>
        <w:t>温</w:t>
      </w:r>
      <w:r>
        <w:rPr>
          <w:rFonts w:hint="eastAsia" w:ascii="微软雅黑" w:hAnsi="微软雅黑" w:eastAsia="微软雅黑" w:cs="......."/>
          <w:color w:val="auto"/>
          <w:kern w:val="0"/>
          <w:sz w:val="24"/>
          <w:szCs w:val="24"/>
        </w:rPr>
        <w:t>偏低，</w:t>
      </w:r>
      <w:r>
        <w:rPr>
          <w:rFonts w:hint="cs" w:ascii="微软雅黑" w:hAnsi="微软雅黑" w:eastAsia="微软雅黑" w:cs="......."/>
          <w:color w:val="auto"/>
          <w:kern w:val="0"/>
          <w:sz w:val="24"/>
          <w:szCs w:val="24"/>
        </w:rPr>
        <w:t>应带备</w:t>
      </w:r>
      <w:r>
        <w:rPr>
          <w:rFonts w:hint="eastAsia" w:ascii="微软雅黑" w:hAnsi="微软雅黑" w:eastAsia="微软雅黑" w:cs="......."/>
          <w:color w:val="auto"/>
          <w:kern w:val="0"/>
          <w:sz w:val="24"/>
          <w:szCs w:val="24"/>
        </w:rPr>
        <w:t>足</w:t>
      </w:r>
      <w:r>
        <w:rPr>
          <w:rFonts w:hint="cs" w:ascii="微软雅黑" w:hAnsi="微软雅黑" w:eastAsia="微软雅黑" w:cs="......."/>
          <w:color w:val="auto"/>
          <w:kern w:val="0"/>
          <w:sz w:val="24"/>
          <w:szCs w:val="24"/>
        </w:rPr>
        <w:t>够</w:t>
      </w:r>
      <w:r>
        <w:rPr>
          <w:rFonts w:hint="eastAsia" w:ascii="微软雅黑" w:hAnsi="微软雅黑" w:eastAsia="微软雅黑" w:cs="......."/>
          <w:color w:val="auto"/>
          <w:kern w:val="0"/>
          <w:sz w:val="24"/>
          <w:szCs w:val="24"/>
        </w:rPr>
        <w:t>的保暖衣物，</w:t>
      </w:r>
      <w:r>
        <w:rPr>
          <w:rFonts w:hint="cs" w:ascii="微软雅黑" w:hAnsi="微软雅黑" w:eastAsia="微软雅黑" w:cs="......."/>
          <w:color w:val="auto"/>
          <w:kern w:val="0"/>
          <w:sz w:val="24"/>
          <w:szCs w:val="24"/>
        </w:rPr>
        <w:t>户</w:t>
      </w:r>
      <w:r>
        <w:rPr>
          <w:rFonts w:hint="eastAsia" w:ascii="微软雅黑" w:hAnsi="微软雅黑" w:eastAsia="微软雅黑" w:cs="......."/>
          <w:color w:val="auto"/>
          <w:kern w:val="0"/>
          <w:sz w:val="24"/>
          <w:szCs w:val="24"/>
        </w:rPr>
        <w:t>外活</w:t>
      </w:r>
      <w:r>
        <w:rPr>
          <w:rFonts w:hint="cs" w:ascii="微软雅黑" w:hAnsi="微软雅黑" w:eastAsia="微软雅黑" w:cs="......."/>
          <w:color w:val="auto"/>
          <w:kern w:val="0"/>
          <w:sz w:val="24"/>
          <w:szCs w:val="24"/>
        </w:rPr>
        <w:t>动时应</w:t>
      </w:r>
      <w:r>
        <w:rPr>
          <w:rFonts w:hint="eastAsia" w:ascii="微软雅黑" w:hAnsi="微软雅黑" w:eastAsia="微软雅黑" w:cs="......."/>
          <w:color w:val="auto"/>
          <w:kern w:val="0"/>
          <w:sz w:val="24"/>
          <w:szCs w:val="24"/>
        </w:rPr>
        <w:t>佩戴太</w:t>
      </w:r>
      <w:r>
        <w:rPr>
          <w:rFonts w:hint="cs" w:ascii="微软雅黑" w:hAnsi="微软雅黑" w:eastAsia="微软雅黑" w:cs="......."/>
          <w:color w:val="auto"/>
          <w:kern w:val="0"/>
          <w:sz w:val="24"/>
          <w:szCs w:val="24"/>
        </w:rPr>
        <w:t>阳镜</w:t>
      </w:r>
      <w:r>
        <w:rPr>
          <w:rFonts w:hint="eastAsia" w:ascii="微软雅黑" w:hAnsi="微软雅黑" w:eastAsia="微软雅黑" w:cs="......."/>
          <w:color w:val="auto"/>
          <w:kern w:val="0"/>
          <w:sz w:val="24"/>
          <w:szCs w:val="24"/>
        </w:rPr>
        <w:t>和帽，以防被紫外</w:t>
      </w:r>
      <w:r>
        <w:rPr>
          <w:rFonts w:hint="cs" w:ascii="微软雅黑" w:hAnsi="微软雅黑" w:eastAsia="微软雅黑" w:cs="......."/>
          <w:color w:val="auto"/>
          <w:kern w:val="0"/>
          <w:sz w:val="24"/>
          <w:szCs w:val="24"/>
        </w:rPr>
        <w:t>线</w:t>
      </w:r>
      <w:r>
        <w:rPr>
          <w:rFonts w:hint="eastAsia" w:ascii="微软雅黑" w:hAnsi="微软雅黑" w:eastAsia="微软雅黑" w:cs="......."/>
          <w:color w:val="auto"/>
          <w:kern w:val="0"/>
          <w:sz w:val="24"/>
          <w:szCs w:val="24"/>
        </w:rPr>
        <w:t>所</w:t>
      </w:r>
      <w:r>
        <w:rPr>
          <w:rFonts w:hint="cs" w:ascii="微软雅黑" w:hAnsi="微软雅黑" w:eastAsia="微软雅黑" w:cs="......."/>
          <w:color w:val="auto"/>
          <w:kern w:val="0"/>
          <w:sz w:val="24"/>
          <w:szCs w:val="24"/>
        </w:rPr>
        <w:t>伤</w:t>
      </w:r>
      <w:r>
        <w:rPr>
          <w:rFonts w:hint="eastAsia" w:ascii="微软雅黑" w:hAnsi="微软雅黑" w:eastAsia="微软雅黑" w:cs="......."/>
          <w:color w:val="auto"/>
          <w:kern w:val="0"/>
          <w:sz w:val="24"/>
          <w:szCs w:val="24"/>
        </w:rPr>
        <w:t>；及</w:t>
      </w:r>
    </w:p>
    <w:p>
      <w:pPr>
        <w:widowControl/>
        <w:numPr>
          <w:ilvl w:val="0"/>
          <w:numId w:val="20"/>
        </w:numPr>
        <w:autoSpaceDE w:val="0"/>
        <w:autoSpaceDN w:val="0"/>
        <w:adjustRightInd w:val="0"/>
        <w:spacing w:after="100" w:afterAutospacing="1" w:line="400" w:lineRule="exact"/>
        <w:jc w:val="left"/>
        <w:rPr>
          <w:rFonts w:ascii="微软雅黑" w:hAnsi="微软雅黑" w:eastAsia="微软雅黑" w:cs="......."/>
          <w:color w:val="auto"/>
          <w:kern w:val="0"/>
          <w:sz w:val="24"/>
          <w:szCs w:val="24"/>
        </w:rPr>
      </w:pPr>
      <w:r>
        <w:rPr>
          <w:rFonts w:hint="eastAsia" w:ascii="微软雅黑" w:hAnsi="微软雅黑" w:eastAsia="微软雅黑" w:cs="......."/>
          <w:color w:val="auto"/>
          <w:kern w:val="0"/>
          <w:sz w:val="24"/>
          <w:szCs w:val="24"/>
        </w:rPr>
        <w:t>如高原反</w:t>
      </w:r>
      <w:r>
        <w:rPr>
          <w:rFonts w:hint="cs" w:ascii="微软雅黑" w:hAnsi="微软雅黑" w:eastAsia="微软雅黑" w:cs="......."/>
          <w:color w:val="auto"/>
          <w:kern w:val="0"/>
          <w:sz w:val="24"/>
          <w:szCs w:val="24"/>
        </w:rPr>
        <w:t>应</w:t>
      </w:r>
      <w:r>
        <w:rPr>
          <w:rFonts w:hint="eastAsia" w:ascii="微软雅黑" w:hAnsi="微软雅黑" w:eastAsia="微软雅黑" w:cs="......."/>
          <w:color w:val="auto"/>
          <w:kern w:val="0"/>
          <w:sz w:val="24"/>
          <w:szCs w:val="24"/>
        </w:rPr>
        <w:t>情</w:t>
      </w:r>
      <w:r>
        <w:rPr>
          <w:rFonts w:hint="cs" w:ascii="微软雅黑" w:hAnsi="微软雅黑" w:eastAsia="微软雅黑" w:cs="......."/>
          <w:color w:val="auto"/>
          <w:kern w:val="0"/>
          <w:sz w:val="24"/>
          <w:szCs w:val="24"/>
        </w:rPr>
        <w:t>况严</w:t>
      </w:r>
      <w:r>
        <w:rPr>
          <w:rFonts w:hint="eastAsia" w:ascii="微软雅黑" w:hAnsi="微软雅黑" w:eastAsia="微软雅黑" w:cs="......."/>
          <w:color w:val="auto"/>
          <w:kern w:val="0"/>
          <w:sz w:val="24"/>
          <w:szCs w:val="24"/>
        </w:rPr>
        <w:t>重，</w:t>
      </w:r>
      <w:r>
        <w:rPr>
          <w:rFonts w:hint="cs" w:ascii="微软雅黑" w:hAnsi="微软雅黑" w:eastAsia="微软雅黑" w:cs="......."/>
          <w:color w:val="auto"/>
          <w:kern w:val="0"/>
          <w:sz w:val="24"/>
          <w:szCs w:val="24"/>
        </w:rPr>
        <w:t>应</w:t>
      </w:r>
      <w:r>
        <w:rPr>
          <w:rFonts w:hint="eastAsia" w:ascii="微软雅黑" w:hAnsi="微软雅黑" w:eastAsia="微软雅黑" w:cs="......."/>
          <w:color w:val="auto"/>
          <w:kern w:val="0"/>
          <w:sz w:val="24"/>
          <w:szCs w:val="24"/>
        </w:rPr>
        <w:t>及早求</w:t>
      </w:r>
      <w:r>
        <w:rPr>
          <w:rFonts w:hint="cs" w:ascii="微软雅黑" w:hAnsi="微软雅黑" w:eastAsia="微软雅黑" w:cs="......."/>
          <w:color w:val="auto"/>
          <w:kern w:val="0"/>
          <w:sz w:val="24"/>
          <w:szCs w:val="24"/>
        </w:rPr>
        <w:t>医</w:t>
      </w:r>
      <w:r>
        <w:rPr>
          <w:rFonts w:hint="eastAsia" w:ascii="微软雅黑" w:hAnsi="微软雅黑" w:eastAsia="微软雅黑" w:cs="......."/>
          <w:color w:val="auto"/>
          <w:kern w:val="0"/>
          <w:sz w:val="24"/>
          <w:szCs w:val="24"/>
        </w:rPr>
        <w:t>。</w:t>
      </w:r>
    </w:p>
    <w:p>
      <w:pPr>
        <w:widowControl/>
        <w:jc w:val="left"/>
        <w:rPr>
          <w:rFonts w:ascii="微软雅黑" w:hAnsi="微软雅黑" w:eastAsia="微软雅黑" w:cs="......."/>
          <w:color w:val="auto"/>
          <w:kern w:val="0"/>
          <w:sz w:val="24"/>
          <w:szCs w:val="24"/>
        </w:rPr>
      </w:pPr>
      <w:r>
        <w:rPr>
          <w:rFonts w:ascii="微软雅黑" w:hAnsi="微软雅黑" w:eastAsia="微软雅黑" w:cs="......."/>
          <w:color w:val="auto"/>
          <w:kern w:val="0"/>
          <w:sz w:val="24"/>
          <w:szCs w:val="24"/>
        </w:rPr>
        <w:br w:type="page"/>
      </w:r>
    </w:p>
    <w:p>
      <w:pPr>
        <w:pStyle w:val="28"/>
        <w:numPr>
          <w:ilvl w:val="0"/>
          <w:numId w:val="1"/>
        </w:numPr>
        <w:ind w:left="720" w:hanging="720" w:hangingChars="200"/>
        <w:outlineLvl w:val="0"/>
        <w:rPr>
          <w:rFonts w:ascii="微软雅黑" w:hAnsi="微软雅黑" w:eastAsia="微软雅黑"/>
          <w:b/>
          <w:color w:val="auto"/>
          <w:sz w:val="36"/>
          <w:szCs w:val="24"/>
          <w:lang w:eastAsia="zh-TW"/>
        </w:rPr>
      </w:pPr>
      <w:bookmarkStart w:id="19" w:name="_Toc475364386"/>
      <w:r>
        <w:rPr>
          <w:rFonts w:hint="eastAsia" w:ascii="微软雅黑" w:hAnsi="微软雅黑" w:eastAsia="微软雅黑"/>
          <w:b/>
          <w:color w:val="auto"/>
          <w:sz w:val="36"/>
          <w:szCs w:val="24"/>
        </w:rPr>
        <w:t>就学</w:t>
      </w:r>
      <w:bookmarkEnd w:id="19"/>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学前教育</w:t>
      </w: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欲了解教育部公布经批准设立的成都市国际学校名单和经成都市教育局公布各区县的幼儿园名单，请参考教育部教育涉外监管信息网站（</w:t>
      </w:r>
      <w:r>
        <w:rPr>
          <w:color w:val="auto"/>
        </w:rPr>
        <w:fldChar w:fldCharType="begin"/>
      </w:r>
      <w:r>
        <w:rPr>
          <w:color w:val="auto"/>
        </w:rPr>
        <w:instrText xml:space="preserve"> HYPERLINK "http://www.jsj.edu.cn" </w:instrText>
      </w:r>
      <w:r>
        <w:rPr>
          <w:color w:val="auto"/>
        </w:rPr>
        <w:fldChar w:fldCharType="separate"/>
      </w:r>
      <w:r>
        <w:rPr>
          <w:rFonts w:ascii="微软雅黑" w:hAnsi="微软雅黑" w:eastAsia="微软雅黑"/>
          <w:color w:val="auto"/>
          <w:sz w:val="24"/>
          <w:szCs w:val="24"/>
        </w:rPr>
        <w:t>http://www.jsj.edu.cn</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）和成都市教育局网站（</w:t>
      </w:r>
      <w:r>
        <w:rPr>
          <w:color w:val="auto"/>
        </w:rPr>
        <w:fldChar w:fldCharType="begin"/>
      </w:r>
      <w:r>
        <w:rPr>
          <w:color w:val="auto"/>
        </w:rPr>
        <w:instrText xml:space="preserve"> HYPERLINK "http://www.cdedu.gov.cn/" </w:instrText>
      </w:r>
      <w:r>
        <w:rPr>
          <w:color w:val="auto"/>
        </w:rPr>
        <w:fldChar w:fldCharType="separate"/>
      </w:r>
      <w:r>
        <w:rPr>
          <w:rFonts w:ascii="微软雅黑" w:hAnsi="微软雅黑" w:eastAsia="微软雅黑"/>
          <w:color w:val="auto"/>
          <w:sz w:val="24"/>
          <w:szCs w:val="24"/>
        </w:rPr>
        <w:t>http://www.cdedu.gov.cn</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w:t>
      </w:r>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中小学教育</w:t>
      </w:r>
    </w:p>
    <w:p>
      <w:pPr>
        <w:autoSpaceDE w:val="0"/>
        <w:autoSpaceDN w:val="0"/>
        <w:adjustRightInd w:val="0"/>
        <w:spacing w:line="400" w:lineRule="exact"/>
        <w:rPr>
          <w:rFonts w:ascii="微软雅黑" w:hAnsi="微软雅黑" w:eastAsia="微软雅黑"/>
          <w:color w:val="auto"/>
          <w:sz w:val="24"/>
          <w:szCs w:val="24"/>
        </w:rPr>
      </w:pPr>
    </w:p>
    <w:p>
      <w:pPr>
        <w:pStyle w:val="28"/>
        <w:spacing w:line="400" w:lineRule="exact"/>
        <w:ind w:firstLine="0" w:firstLineChars="0"/>
        <w:jc w:val="left"/>
        <w:rPr>
          <w:rFonts w:ascii="微软雅黑" w:hAnsi="微软雅黑" w:eastAsia="微软雅黑"/>
          <w:color w:val="auto"/>
          <w:sz w:val="24"/>
          <w:szCs w:val="24"/>
        </w:rPr>
      </w:pPr>
      <w:r>
        <w:rPr>
          <w:rFonts w:hint="eastAsia" w:ascii="微软雅黑" w:hAnsi="微软雅黑" w:eastAsia="微软雅黑"/>
          <w:color w:val="auto"/>
          <w:sz w:val="24"/>
          <w:szCs w:val="24"/>
        </w:rPr>
        <w:t>如申请居住地附近的中小学，应参照《成都市在蓉台湾同胞子女入学办事指南》所列程序办理。欲了解申请来成都上中小学的更详细讯息，可以参考成都市人民政府侨务办公室网站（</w:t>
      </w:r>
      <w:r>
        <w:rPr>
          <w:color w:val="auto"/>
        </w:rPr>
        <w:fldChar w:fldCharType="begin"/>
      </w:r>
      <w:r>
        <w:rPr>
          <w:color w:val="auto"/>
        </w:rPr>
        <w:instrText xml:space="preserve"> HYPERLINK "http://www.cdfao.gov.cn" </w:instrText>
      </w:r>
      <w:r>
        <w:rPr>
          <w:color w:val="auto"/>
        </w:rPr>
        <w:fldChar w:fldCharType="separate"/>
      </w:r>
      <w:r>
        <w:rPr>
          <w:rFonts w:ascii="微软雅黑" w:hAnsi="微软雅黑" w:eastAsia="微软雅黑"/>
          <w:color w:val="auto"/>
          <w:sz w:val="24"/>
          <w:szCs w:val="24"/>
        </w:rPr>
        <w:t>http://www.cdfao.gov.cn</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）及成都教育局网站（</w:t>
      </w:r>
      <w:r>
        <w:rPr>
          <w:color w:val="auto"/>
        </w:rPr>
        <w:fldChar w:fldCharType="begin"/>
      </w:r>
      <w:r>
        <w:rPr>
          <w:color w:val="auto"/>
        </w:rPr>
        <w:instrText xml:space="preserve"> HYPERLINK "http://www.cdedu.gov.cn/" </w:instrText>
      </w:r>
      <w:r>
        <w:rPr>
          <w:color w:val="auto"/>
        </w:rPr>
        <w:fldChar w:fldCharType="separate"/>
      </w:r>
      <w:r>
        <w:rPr>
          <w:rFonts w:ascii="微软雅黑" w:hAnsi="微软雅黑" w:eastAsia="微软雅黑"/>
          <w:color w:val="auto"/>
          <w:sz w:val="24"/>
          <w:szCs w:val="24"/>
        </w:rPr>
        <w:t>http://www.cdedu.gov.cn</w:t>
      </w:r>
      <w:r>
        <w:rPr>
          <w:rFonts w:ascii="微软雅黑" w:hAnsi="微软雅黑" w:eastAsia="微软雅黑"/>
          <w:color w:val="auto"/>
          <w:sz w:val="24"/>
          <w:szCs w:val="24"/>
        </w:rPr>
        <w:fldChar w:fldCharType="end"/>
      </w:r>
      <w:bookmarkStart w:id="20" w:name="_Toc374091290"/>
      <w:r>
        <w:rPr>
          <w:rFonts w:hint="eastAsia" w:ascii="微软雅黑" w:hAnsi="微软雅黑" w:eastAsia="微软雅黑"/>
          <w:color w:val="auto"/>
          <w:sz w:val="24"/>
          <w:szCs w:val="24"/>
        </w:rPr>
        <w:t>）。</w:t>
      </w:r>
    </w:p>
    <w:p>
      <w:pPr>
        <w:pStyle w:val="28"/>
        <w:spacing w:line="400" w:lineRule="exact"/>
        <w:ind w:firstLine="0" w:firstLineChars="0"/>
        <w:rPr>
          <w:rFonts w:ascii="微软雅黑" w:hAnsi="微软雅黑" w:eastAsia="微软雅黑"/>
          <w:b/>
          <w:color w:val="auto"/>
          <w:sz w:val="24"/>
          <w:szCs w:val="24"/>
        </w:rPr>
      </w:pPr>
    </w:p>
    <w:p>
      <w:pPr>
        <w:pStyle w:val="28"/>
        <w:spacing w:line="400" w:lineRule="exact"/>
        <w:ind w:firstLine="0" w:firstLineChars="0"/>
        <w:rPr>
          <w:rFonts w:ascii="微软雅黑" w:hAnsi="微软雅黑" w:eastAsia="微软雅黑"/>
          <w:color w:val="auto"/>
          <w:sz w:val="24"/>
          <w:szCs w:val="24"/>
        </w:rPr>
      </w:pPr>
      <w:r>
        <w:rPr>
          <w:rFonts w:hint="eastAsia" w:ascii="微软雅黑" w:hAnsi="微软雅黑" w:eastAsia="微软雅黑"/>
          <w:color w:val="auto"/>
          <w:sz w:val="24"/>
          <w:szCs w:val="24"/>
        </w:rPr>
        <w:t>如果选择就读国际学校，可按照个别学校的具体要求提出申请，由国际学校自行决定是否录取。香港学生中途转学至国际学校就读，一般需要提供成绩单并参加国际学校自行组织的入学考试。</w:t>
      </w:r>
    </w:p>
    <w:p>
      <w:pPr>
        <w:pStyle w:val="28"/>
        <w:keepNext/>
        <w:numPr>
          <w:ilvl w:val="0"/>
          <w:numId w:val="4"/>
        </w:numPr>
        <w:spacing w:before="312" w:beforeLines="100" w:line="400" w:lineRule="exact"/>
        <w:ind w:left="480" w:hanging="480" w:hangingChars="200"/>
        <w:rPr>
          <w:rFonts w:ascii="微软雅黑" w:hAnsi="微软雅黑" w:eastAsia="微软雅黑"/>
          <w:b/>
          <w:color w:val="auto"/>
          <w:sz w:val="24"/>
          <w:szCs w:val="24"/>
          <w:u w:val="single"/>
        </w:rPr>
      </w:pPr>
      <w:r>
        <w:rPr>
          <w:rFonts w:hint="eastAsia" w:ascii="微软雅黑" w:hAnsi="微软雅黑" w:eastAsia="微软雅黑"/>
          <w:b/>
          <w:color w:val="auto"/>
          <w:sz w:val="24"/>
          <w:szCs w:val="24"/>
          <w:u w:val="single"/>
        </w:rPr>
        <w:t>主要国际学校及联系方式</w:t>
      </w:r>
    </w:p>
    <w:p>
      <w:pPr>
        <w:pStyle w:val="28"/>
        <w:spacing w:before="312" w:beforeLines="100" w:after="234" w:afterLines="75" w:line="400" w:lineRule="exact"/>
        <w:ind w:firstLine="0" w:firstLineChars="0"/>
        <w:rPr>
          <w:rFonts w:ascii="微软雅黑" w:hAnsi="微软雅黑" w:eastAsia="微软雅黑"/>
          <w:color w:val="auto"/>
          <w:sz w:val="24"/>
          <w:szCs w:val="24"/>
        </w:rPr>
      </w:pPr>
      <w:r>
        <w:rPr>
          <w:rFonts w:hint="eastAsia" w:ascii="微软雅黑" w:hAnsi="微软雅黑" w:eastAsia="微软雅黑"/>
          <w:color w:val="auto"/>
          <w:sz w:val="24"/>
          <w:szCs w:val="24"/>
        </w:rPr>
        <w:t>下表所列部分教育部公布经批准设立的成都市国际学校的资料主要来自教育部教育涉外监管信息网和成都市教育局网站，仅供读者参考。驻成都办对当中资料的准确性、完整性、内容和时效性不作任何明示的或暗示的保证，亦不承担任何因使用下表资料而造成的损失。您有义务自行核实所有信息的准确性、完整性、内容和时效性，并在有需要时就具体个案或事实情况寻求专业的意见。下表亦无意构成广告或业务招揽，驻成都办不为任何产品，服务或资料内容作宣传。</w:t>
      </w:r>
    </w:p>
    <w:bookmarkEnd w:id="20"/>
    <w:tbl>
      <w:tblPr>
        <w:tblStyle w:val="25"/>
        <w:tblW w:w="90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2268"/>
        <w:gridCol w:w="3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2972" w:type="dxa"/>
            <w:shd w:val="clear" w:color="auto" w:fill="A6C9E8"/>
            <w:vAlign w:val="center"/>
          </w:tcPr>
          <w:p>
            <w:pPr>
              <w:pStyle w:val="26"/>
              <w:spacing w:line="400" w:lineRule="exact"/>
              <w:jc w:val="center"/>
              <w:rPr>
                <w:rFonts w:ascii="微软雅黑" w:hAnsi="微软雅黑" w:eastAsia="微软雅黑" w:cs="......"/>
                <w:b/>
                <w:color w:val="auto"/>
              </w:rPr>
            </w:pPr>
            <w:r>
              <w:rPr>
                <w:rFonts w:hint="cs" w:ascii="微软雅黑" w:hAnsi="微软雅黑" w:eastAsia="微软雅黑" w:cs="......"/>
                <w:b/>
                <w:color w:val="auto"/>
              </w:rPr>
              <w:t>学</w:t>
            </w:r>
            <w:r>
              <w:rPr>
                <w:rFonts w:hint="eastAsia" w:ascii="微软雅黑" w:hAnsi="微软雅黑" w:eastAsia="微软雅黑" w:cs="......"/>
                <w:b/>
                <w:color w:val="auto"/>
              </w:rPr>
              <w:t>校名</w:t>
            </w:r>
            <w:r>
              <w:rPr>
                <w:rFonts w:hint="cs" w:ascii="微软雅黑" w:hAnsi="微软雅黑" w:eastAsia="微软雅黑" w:cs="......"/>
                <w:b/>
                <w:color w:val="auto"/>
              </w:rPr>
              <w:t>称</w:t>
            </w:r>
          </w:p>
        </w:tc>
        <w:tc>
          <w:tcPr>
            <w:tcW w:w="2268" w:type="dxa"/>
            <w:shd w:val="clear" w:color="auto" w:fill="A6C9E8"/>
            <w:vAlign w:val="center"/>
          </w:tcPr>
          <w:p>
            <w:pPr>
              <w:pStyle w:val="26"/>
              <w:spacing w:line="400" w:lineRule="exact"/>
              <w:jc w:val="center"/>
              <w:rPr>
                <w:rFonts w:ascii="微软雅黑" w:hAnsi="微软雅黑" w:eastAsia="微软雅黑" w:cs="......"/>
                <w:b/>
                <w:color w:val="auto"/>
              </w:rPr>
            </w:pPr>
            <w:r>
              <w:rPr>
                <w:rFonts w:hint="eastAsia" w:ascii="微软雅黑" w:hAnsi="微软雅黑" w:eastAsia="微软雅黑" w:cs="......"/>
                <w:b/>
                <w:color w:val="auto"/>
              </w:rPr>
              <w:t>地址</w:t>
            </w:r>
          </w:p>
        </w:tc>
        <w:tc>
          <w:tcPr>
            <w:tcW w:w="3843" w:type="dxa"/>
            <w:shd w:val="clear" w:color="auto" w:fill="A6C9E8"/>
            <w:vAlign w:val="center"/>
          </w:tcPr>
          <w:p>
            <w:pPr>
              <w:pStyle w:val="26"/>
              <w:spacing w:line="400" w:lineRule="exact"/>
              <w:jc w:val="center"/>
              <w:rPr>
                <w:rFonts w:ascii="微软雅黑" w:hAnsi="微软雅黑" w:eastAsia="微软雅黑" w:cs="......"/>
                <w:b/>
                <w:color w:val="auto"/>
              </w:rPr>
            </w:pPr>
            <w:r>
              <w:rPr>
                <w:rFonts w:hint="cs" w:ascii="微软雅黑" w:hAnsi="微软雅黑" w:eastAsia="微软雅黑" w:cs="......"/>
                <w:b/>
                <w:color w:val="auto"/>
              </w:rPr>
              <w:t>联</w:t>
            </w:r>
            <w:r>
              <w:rPr>
                <w:rFonts w:hint="eastAsia" w:ascii="微软雅黑" w:hAnsi="微软雅黑" w:eastAsia="微软雅黑" w:cs="......"/>
                <w:b/>
                <w:color w:val="auto"/>
              </w:rPr>
              <w:t>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jc w:val="center"/>
        </w:trPr>
        <w:tc>
          <w:tcPr>
            <w:tcW w:w="2972" w:type="dxa"/>
          </w:tcPr>
          <w:p>
            <w:pPr>
              <w:spacing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成都爱思瑟国际学校</w:t>
            </w:r>
          </w:p>
          <w:p>
            <w:pPr>
              <w:spacing w:line="400" w:lineRule="exact"/>
              <w:jc w:val="left"/>
              <w:rPr>
                <w:rFonts w:ascii="微软雅黑" w:hAnsi="微软雅黑" w:eastAsia="微软雅黑"/>
                <w:color w:val="auto"/>
                <w:sz w:val="24"/>
                <w:szCs w:val="24"/>
              </w:rPr>
            </w:pPr>
            <w:r>
              <w:rPr>
                <w:rFonts w:ascii="微软雅黑" w:hAnsi="微软雅黑" w:eastAsia="微软雅黑"/>
                <w:color w:val="auto"/>
                <w:sz w:val="24"/>
                <w:szCs w:val="24"/>
              </w:rPr>
              <w:t>Chengdu International School</w:t>
            </w:r>
          </w:p>
        </w:tc>
        <w:tc>
          <w:tcPr>
            <w:tcW w:w="2268"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成都市锦江区通桂路</w:t>
            </w:r>
            <w:r>
              <w:rPr>
                <w:rFonts w:ascii="微软雅黑" w:hAnsi="微软雅黑" w:eastAsia="微软雅黑"/>
                <w:color w:val="auto"/>
                <w:sz w:val="24"/>
                <w:szCs w:val="24"/>
              </w:rPr>
              <w:t>68</w:t>
            </w:r>
            <w:r>
              <w:rPr>
                <w:rFonts w:hint="eastAsia" w:ascii="微软雅黑" w:hAnsi="微软雅黑" w:eastAsia="微软雅黑"/>
                <w:color w:val="auto"/>
                <w:sz w:val="24"/>
                <w:szCs w:val="24"/>
              </w:rPr>
              <w:t>号</w:t>
            </w:r>
          </w:p>
        </w:tc>
        <w:tc>
          <w:tcPr>
            <w:tcW w:w="3843" w:type="dxa"/>
          </w:tcPr>
          <w:p>
            <w:pPr>
              <w:spacing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电话：</w:t>
            </w:r>
            <w:r>
              <w:rPr>
                <w:rFonts w:ascii="微软雅黑" w:hAnsi="微软雅黑" w:eastAsia="微软雅黑"/>
                <w:color w:val="auto"/>
                <w:sz w:val="24"/>
                <w:szCs w:val="24"/>
              </w:rPr>
              <w:t>(028)65175228</w:t>
            </w:r>
          </w:p>
          <w:p>
            <w:pPr>
              <w:spacing w:line="400" w:lineRule="exact"/>
              <w:ind w:firstLine="720" w:firstLineChars="300"/>
              <w:jc w:val="left"/>
              <w:rPr>
                <w:rFonts w:ascii="微软雅黑" w:hAnsi="微软雅黑" w:eastAsia="微软雅黑"/>
                <w:color w:val="auto"/>
                <w:sz w:val="24"/>
                <w:szCs w:val="24"/>
                <w:lang w:eastAsia="zh-TW"/>
              </w:rPr>
            </w:pPr>
            <w:r>
              <w:rPr>
                <w:rFonts w:ascii="微软雅黑" w:hAnsi="微软雅黑" w:eastAsia="微软雅黑"/>
                <w:color w:val="auto"/>
                <w:sz w:val="24"/>
                <w:szCs w:val="24"/>
              </w:rPr>
              <w:t>(028)65175229</w:t>
            </w:r>
          </w:p>
          <w:p>
            <w:pPr>
              <w:spacing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"mailto:cdischina.com" </w:instrText>
            </w:r>
            <w:r>
              <w:rPr>
                <w:color w:val="auto"/>
              </w:rPr>
              <w:fldChar w:fldCharType="separate"/>
            </w:r>
            <w:r>
              <w:rPr>
                <w:rFonts w:ascii="微软雅黑" w:hAnsi="微软雅黑" w:eastAsia="微软雅黑"/>
                <w:color w:val="auto"/>
                <w:sz w:val="24"/>
                <w:szCs w:val="24"/>
              </w:rPr>
              <w:t>cdischina.com</w:t>
            </w:r>
            <w:r>
              <w:rPr>
                <w:rFonts w:ascii="微软雅黑" w:hAnsi="微软雅黑" w:eastAsia="微软雅黑"/>
                <w:color w:val="auto"/>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1" w:hRule="atLeast"/>
          <w:jc w:val="center"/>
        </w:trPr>
        <w:tc>
          <w:tcPr>
            <w:tcW w:w="2972" w:type="dxa"/>
          </w:tcPr>
          <w:p>
            <w:pPr>
              <w:spacing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四川乐盟国际学校</w:t>
            </w:r>
          </w:p>
          <w:p>
            <w:pPr>
              <w:spacing w:line="400" w:lineRule="exact"/>
              <w:jc w:val="left"/>
              <w:rPr>
                <w:rFonts w:ascii="微软雅黑" w:hAnsi="微软雅黑" w:eastAsia="微软雅黑"/>
                <w:color w:val="auto"/>
                <w:sz w:val="24"/>
                <w:szCs w:val="24"/>
              </w:rPr>
            </w:pPr>
            <w:r>
              <w:rPr>
                <w:rFonts w:ascii="微软雅黑" w:hAnsi="微软雅黑" w:eastAsia="微软雅黑"/>
                <w:color w:val="auto"/>
                <w:sz w:val="24"/>
                <w:szCs w:val="24"/>
              </w:rPr>
              <w:t>Léman International School-Chengdu</w:t>
            </w:r>
          </w:p>
        </w:tc>
        <w:tc>
          <w:tcPr>
            <w:tcW w:w="2268"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成都市天府新区大安路</w:t>
            </w:r>
            <w:r>
              <w:rPr>
                <w:rFonts w:ascii="微软雅黑" w:hAnsi="微软雅黑" w:eastAsia="微软雅黑"/>
                <w:color w:val="auto"/>
                <w:sz w:val="24"/>
                <w:szCs w:val="24"/>
              </w:rPr>
              <w:t>1080</w:t>
            </w:r>
            <w:r>
              <w:rPr>
                <w:rFonts w:hint="eastAsia" w:ascii="微软雅黑" w:hAnsi="微软雅黑" w:eastAsia="微软雅黑"/>
                <w:color w:val="auto"/>
                <w:sz w:val="24"/>
                <w:szCs w:val="24"/>
              </w:rPr>
              <w:t>号</w:t>
            </w:r>
          </w:p>
        </w:tc>
        <w:tc>
          <w:tcPr>
            <w:tcW w:w="3843" w:type="dxa"/>
          </w:tcPr>
          <w:p>
            <w:pPr>
              <w:spacing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电话：</w:t>
            </w:r>
            <w:r>
              <w:rPr>
                <w:rFonts w:ascii="微软雅黑" w:hAnsi="微软雅黑" w:eastAsia="微软雅黑"/>
                <w:color w:val="auto"/>
                <w:sz w:val="24"/>
                <w:szCs w:val="24"/>
              </w:rPr>
              <w:t>(028)67038650</w:t>
            </w:r>
          </w:p>
          <w:p>
            <w:pPr>
              <w:spacing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传真：</w:t>
            </w:r>
            <w:r>
              <w:rPr>
                <w:rFonts w:ascii="微软雅黑" w:hAnsi="微软雅黑" w:eastAsia="微软雅黑"/>
                <w:color w:val="auto"/>
                <w:sz w:val="24"/>
                <w:szCs w:val="24"/>
              </w:rPr>
              <w:t>(028)67038630</w:t>
            </w:r>
          </w:p>
          <w:p>
            <w:pPr>
              <w:spacing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"http://www.nordangliaeducation.com/ourschools/china/chengdu/leman-international-school" </w:instrText>
            </w:r>
            <w:r>
              <w:rPr>
                <w:color w:val="auto"/>
              </w:rPr>
              <w:fldChar w:fldCharType="separate"/>
            </w:r>
            <w:r>
              <w:rPr>
                <w:rFonts w:ascii="微软雅黑" w:hAnsi="微软雅黑" w:eastAsia="微软雅黑"/>
                <w:color w:val="auto"/>
                <w:sz w:val="24"/>
                <w:szCs w:val="24"/>
              </w:rPr>
              <w:t>nordangliaeducation.com/our</w:t>
            </w:r>
            <w:r>
              <w:rPr>
                <w:rFonts w:hint="eastAsia" w:ascii="微软雅黑" w:hAnsi="微软雅黑" w:eastAsia="微软雅黑"/>
                <w:color w:val="auto"/>
                <w:sz w:val="24"/>
                <w:szCs w:val="24"/>
              </w:rPr>
              <w:t>-</w:t>
            </w:r>
            <w:r>
              <w:rPr>
                <w:rFonts w:ascii="微软雅黑" w:hAnsi="微软雅黑" w:eastAsia="微软雅黑"/>
                <w:color w:val="auto"/>
                <w:sz w:val="24"/>
                <w:szCs w:val="24"/>
              </w:rPr>
              <w:t>schools/china/chengdu/leman-international-school</w:t>
            </w:r>
            <w:r>
              <w:rPr>
                <w:rFonts w:ascii="微软雅黑" w:hAnsi="微软雅黑" w:eastAsia="微软雅黑"/>
                <w:color w:val="auto"/>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jc w:val="center"/>
        </w:trPr>
        <w:tc>
          <w:tcPr>
            <w:tcW w:w="2972" w:type="dxa"/>
          </w:tcPr>
          <w:p>
            <w:pPr>
              <w:spacing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成都美视国际学校</w:t>
            </w:r>
          </w:p>
          <w:p>
            <w:pPr>
              <w:spacing w:line="400" w:lineRule="exact"/>
              <w:jc w:val="left"/>
              <w:rPr>
                <w:rFonts w:ascii="微软雅黑" w:hAnsi="微软雅黑" w:eastAsia="微软雅黑"/>
                <w:color w:val="auto"/>
                <w:sz w:val="24"/>
                <w:szCs w:val="24"/>
                <w:lang w:eastAsia="zh-TW"/>
              </w:rPr>
            </w:pPr>
            <w:r>
              <w:rPr>
                <w:rFonts w:ascii="微软雅黑" w:hAnsi="微软雅黑" w:eastAsia="微软雅黑"/>
                <w:color w:val="auto"/>
                <w:sz w:val="24"/>
                <w:szCs w:val="24"/>
              </w:rPr>
              <w:t>Chengdu Meishi International School</w:t>
            </w:r>
          </w:p>
        </w:tc>
        <w:tc>
          <w:tcPr>
            <w:tcW w:w="2268"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成都市天府大道中段</w:t>
            </w:r>
            <w:r>
              <w:rPr>
                <w:rFonts w:ascii="微软雅黑" w:hAnsi="微软雅黑" w:eastAsia="微软雅黑"/>
                <w:color w:val="auto"/>
                <w:sz w:val="24"/>
                <w:szCs w:val="24"/>
              </w:rPr>
              <w:t>1340</w:t>
            </w:r>
            <w:r>
              <w:rPr>
                <w:rFonts w:hint="eastAsia" w:ascii="微软雅黑" w:hAnsi="微软雅黑" w:eastAsia="微软雅黑"/>
                <w:color w:val="auto"/>
                <w:sz w:val="24"/>
                <w:szCs w:val="24"/>
              </w:rPr>
              <w:t>号</w:t>
            </w:r>
          </w:p>
        </w:tc>
        <w:tc>
          <w:tcPr>
            <w:tcW w:w="3843" w:type="dxa"/>
          </w:tcPr>
          <w:p>
            <w:pPr>
              <w:spacing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电话：</w:t>
            </w:r>
            <w:r>
              <w:rPr>
                <w:rFonts w:ascii="微软雅黑" w:hAnsi="微软雅黑" w:eastAsia="微软雅黑"/>
                <w:color w:val="auto"/>
                <w:sz w:val="24"/>
                <w:szCs w:val="24"/>
              </w:rPr>
              <w:t>(028)85330653</w:t>
            </w:r>
          </w:p>
          <w:p>
            <w:pPr>
              <w:spacing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传真：</w:t>
            </w:r>
            <w:r>
              <w:rPr>
                <w:rFonts w:ascii="微软雅黑" w:hAnsi="微软雅黑" w:eastAsia="微软雅黑"/>
                <w:color w:val="auto"/>
                <w:sz w:val="24"/>
                <w:szCs w:val="24"/>
              </w:rPr>
              <w:t>(028)85330880</w:t>
            </w:r>
          </w:p>
          <w:p>
            <w:pPr>
              <w:spacing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"http://www.miscd.com/" </w:instrText>
            </w:r>
            <w:r>
              <w:rPr>
                <w:color w:val="auto"/>
              </w:rPr>
              <w:fldChar w:fldCharType="separate"/>
            </w:r>
            <w:r>
              <w:rPr>
                <w:rFonts w:ascii="微软雅黑" w:hAnsi="微软雅黑" w:eastAsia="微软雅黑"/>
                <w:color w:val="auto"/>
                <w:sz w:val="24"/>
                <w:szCs w:val="24"/>
              </w:rPr>
              <w:t>www.miscd.com</w:t>
            </w:r>
            <w:r>
              <w:rPr>
                <w:rFonts w:ascii="微软雅黑" w:hAnsi="微软雅黑" w:eastAsia="微软雅黑"/>
                <w:color w:val="auto"/>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8" w:hRule="atLeast"/>
          <w:jc w:val="center"/>
        </w:trPr>
        <w:tc>
          <w:tcPr>
            <w:tcW w:w="2972" w:type="dxa"/>
          </w:tcPr>
          <w:p>
            <w:pPr>
              <w:spacing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麓山国际光亚学校</w:t>
            </w:r>
          </w:p>
          <w:p>
            <w:pPr>
              <w:spacing w:line="400" w:lineRule="exact"/>
              <w:jc w:val="left"/>
              <w:rPr>
                <w:rFonts w:ascii="微软雅黑" w:hAnsi="微软雅黑" w:eastAsia="微软雅黑"/>
                <w:color w:val="auto"/>
                <w:sz w:val="24"/>
                <w:szCs w:val="24"/>
              </w:rPr>
            </w:pPr>
            <w:r>
              <w:rPr>
                <w:rFonts w:ascii="微软雅黑" w:hAnsi="微软雅黑" w:eastAsia="微软雅黑"/>
                <w:color w:val="auto"/>
                <w:sz w:val="24"/>
                <w:szCs w:val="24"/>
              </w:rPr>
              <w:t xml:space="preserve">Guangya School at Luxehills International Community </w:t>
            </w:r>
          </w:p>
        </w:tc>
        <w:tc>
          <w:tcPr>
            <w:tcW w:w="2268"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成都市人南延线麓山大道</w:t>
            </w:r>
            <w:r>
              <w:rPr>
                <w:rFonts w:ascii="微软雅黑" w:hAnsi="微软雅黑" w:eastAsia="微软雅黑"/>
                <w:color w:val="auto"/>
                <w:sz w:val="24"/>
                <w:szCs w:val="24"/>
              </w:rPr>
              <w:t>2</w:t>
            </w:r>
            <w:r>
              <w:rPr>
                <w:rFonts w:hint="eastAsia" w:ascii="微软雅黑" w:hAnsi="微软雅黑" w:eastAsia="微软雅黑"/>
                <w:color w:val="auto"/>
                <w:sz w:val="24"/>
                <w:szCs w:val="24"/>
              </w:rPr>
              <w:t>段1</w:t>
            </w:r>
            <w:r>
              <w:rPr>
                <w:rFonts w:ascii="微软雅黑" w:hAnsi="微软雅黑" w:eastAsia="微软雅黑"/>
                <w:color w:val="auto"/>
                <w:sz w:val="24"/>
                <w:szCs w:val="24"/>
              </w:rPr>
              <w:t>8</w:t>
            </w:r>
            <w:r>
              <w:rPr>
                <w:rFonts w:hint="eastAsia" w:ascii="微软雅黑" w:hAnsi="微软雅黑" w:eastAsia="微软雅黑"/>
                <w:color w:val="auto"/>
                <w:sz w:val="24"/>
                <w:szCs w:val="24"/>
              </w:rPr>
              <w:t>号</w:t>
            </w:r>
          </w:p>
        </w:tc>
        <w:tc>
          <w:tcPr>
            <w:tcW w:w="3843" w:type="dxa"/>
          </w:tcPr>
          <w:p>
            <w:pPr>
              <w:spacing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电话：</w:t>
            </w:r>
            <w:r>
              <w:rPr>
                <w:rFonts w:ascii="微软雅黑" w:hAnsi="微软雅黑" w:eastAsia="微软雅黑"/>
                <w:color w:val="auto"/>
                <w:sz w:val="24"/>
                <w:szCs w:val="24"/>
              </w:rPr>
              <w:t>(028)85761629</w:t>
            </w:r>
          </w:p>
          <w:p>
            <w:pPr>
              <w:spacing w:line="400" w:lineRule="exact"/>
              <w:ind w:firstLine="720" w:firstLineChars="300"/>
              <w:jc w:val="left"/>
              <w:rPr>
                <w:rFonts w:ascii="微软雅黑" w:hAnsi="微软雅黑" w:eastAsia="微软雅黑"/>
                <w:color w:val="auto"/>
                <w:sz w:val="24"/>
                <w:szCs w:val="24"/>
                <w:lang w:eastAsia="zh-TW"/>
              </w:rPr>
            </w:pPr>
            <w:r>
              <w:rPr>
                <w:rFonts w:ascii="微软雅黑" w:hAnsi="微软雅黑" w:eastAsia="微软雅黑"/>
                <w:color w:val="auto"/>
                <w:sz w:val="24"/>
                <w:szCs w:val="24"/>
              </w:rPr>
              <w:t>(028)85761034</w:t>
            </w:r>
          </w:p>
          <w:p>
            <w:pPr>
              <w:spacing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传真：</w:t>
            </w:r>
            <w:r>
              <w:rPr>
                <w:rFonts w:ascii="微软雅黑" w:hAnsi="微软雅黑" w:eastAsia="微软雅黑"/>
                <w:color w:val="auto"/>
                <w:sz w:val="24"/>
                <w:szCs w:val="24"/>
              </w:rPr>
              <w:t>(028)85761203</w:t>
            </w:r>
          </w:p>
          <w:p>
            <w:pPr>
              <w:spacing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"http://www.guangyalic.com/GSLchinese/" </w:instrText>
            </w:r>
            <w:r>
              <w:rPr>
                <w:color w:val="auto"/>
              </w:rPr>
              <w:fldChar w:fldCharType="separate"/>
            </w:r>
            <w:r>
              <w:rPr>
                <w:rFonts w:ascii="微软雅黑" w:hAnsi="微软雅黑" w:eastAsia="微软雅黑"/>
                <w:color w:val="auto"/>
                <w:sz w:val="24"/>
                <w:szCs w:val="24"/>
              </w:rPr>
              <w:t>www.guangyalic.com</w:t>
            </w:r>
            <w:r>
              <w:rPr>
                <w:rFonts w:ascii="微软雅黑" w:hAnsi="微软雅黑" w:eastAsia="微软雅黑"/>
                <w:color w:val="auto"/>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jc w:val="center"/>
        </w:trPr>
        <w:tc>
          <w:tcPr>
            <w:tcW w:w="2972" w:type="dxa"/>
          </w:tcPr>
          <w:p>
            <w:pPr>
              <w:spacing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牛津国际公学</w:t>
            </w:r>
            <w:r>
              <w:rPr>
                <w:rFonts w:ascii="微软雅黑" w:hAnsi="微软雅黑" w:eastAsia="微软雅黑"/>
                <w:color w:val="auto"/>
                <w:sz w:val="24"/>
                <w:szCs w:val="24"/>
              </w:rPr>
              <w:t>(</w:t>
            </w:r>
            <w:r>
              <w:rPr>
                <w:rFonts w:hint="eastAsia" w:ascii="微软雅黑" w:hAnsi="微软雅黑" w:eastAsia="微软雅黑"/>
                <w:color w:val="auto"/>
                <w:sz w:val="24"/>
                <w:szCs w:val="24"/>
              </w:rPr>
              <w:t>成都学校</w:t>
            </w:r>
            <w:r>
              <w:rPr>
                <w:rFonts w:ascii="微软雅黑" w:hAnsi="微软雅黑" w:eastAsia="微软雅黑"/>
                <w:color w:val="auto"/>
                <w:sz w:val="24"/>
                <w:szCs w:val="24"/>
              </w:rPr>
              <w:t>)</w:t>
            </w:r>
          </w:p>
          <w:p>
            <w:pPr>
              <w:spacing w:line="400" w:lineRule="exact"/>
              <w:jc w:val="left"/>
              <w:rPr>
                <w:rFonts w:ascii="微软雅黑" w:hAnsi="微软雅黑" w:eastAsia="微软雅黑"/>
                <w:color w:val="auto"/>
                <w:sz w:val="24"/>
                <w:szCs w:val="24"/>
              </w:rPr>
            </w:pPr>
            <w:r>
              <w:rPr>
                <w:rFonts w:ascii="微软雅黑" w:hAnsi="微软雅黑" w:eastAsia="微软雅黑"/>
                <w:color w:val="auto"/>
                <w:sz w:val="24"/>
                <w:szCs w:val="24"/>
              </w:rPr>
              <w:t>Oxford International College of Chengdu</w:t>
            </w:r>
          </w:p>
        </w:tc>
        <w:tc>
          <w:tcPr>
            <w:tcW w:w="2268" w:type="dxa"/>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成都市桃蹊路</w:t>
            </w:r>
            <w:r>
              <w:rPr>
                <w:rFonts w:ascii="微软雅黑" w:hAnsi="微软雅黑" w:eastAsia="微软雅黑"/>
                <w:color w:val="auto"/>
                <w:sz w:val="24"/>
                <w:szCs w:val="24"/>
              </w:rPr>
              <w:t>185</w:t>
            </w:r>
            <w:r>
              <w:rPr>
                <w:rFonts w:hint="eastAsia" w:ascii="微软雅黑" w:hAnsi="微软雅黑" w:eastAsia="微软雅黑"/>
                <w:color w:val="auto"/>
                <w:sz w:val="24"/>
                <w:szCs w:val="24"/>
              </w:rPr>
              <w:t>号</w:t>
            </w:r>
          </w:p>
        </w:tc>
        <w:tc>
          <w:tcPr>
            <w:tcW w:w="3843" w:type="dxa"/>
          </w:tcPr>
          <w:p>
            <w:pPr>
              <w:spacing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电话：</w:t>
            </w:r>
            <w:r>
              <w:rPr>
                <w:rFonts w:ascii="微软雅黑" w:hAnsi="微软雅黑" w:eastAsia="微软雅黑"/>
                <w:color w:val="auto"/>
                <w:sz w:val="24"/>
                <w:szCs w:val="24"/>
              </w:rPr>
              <w:t>(028)83517000</w:t>
            </w:r>
          </w:p>
          <w:p>
            <w:pPr>
              <w:spacing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网站：</w:t>
            </w:r>
            <w:r>
              <w:rPr>
                <w:color w:val="auto"/>
              </w:rPr>
              <w:fldChar w:fldCharType="begin"/>
            </w:r>
            <w:r>
              <w:rPr>
                <w:color w:val="auto"/>
              </w:rPr>
              <w:instrText xml:space="preserve"> HYPERLINK "http://www.china-oic.com" </w:instrText>
            </w:r>
            <w:r>
              <w:rPr>
                <w:color w:val="auto"/>
              </w:rPr>
              <w:fldChar w:fldCharType="separate"/>
            </w:r>
            <w:r>
              <w:rPr>
                <w:rFonts w:ascii="微软雅黑" w:hAnsi="微软雅黑" w:eastAsia="微软雅黑"/>
                <w:color w:val="auto"/>
                <w:sz w:val="24"/>
                <w:szCs w:val="24"/>
              </w:rPr>
              <w:t>www.china-oic.com</w:t>
            </w:r>
            <w:r>
              <w:rPr>
                <w:rFonts w:ascii="微软雅黑" w:hAnsi="微软雅黑" w:eastAsia="微软雅黑"/>
                <w:color w:val="auto"/>
                <w:sz w:val="24"/>
                <w:szCs w:val="24"/>
              </w:rPr>
              <w:fldChar w:fldCharType="end"/>
            </w:r>
          </w:p>
        </w:tc>
      </w:tr>
    </w:tbl>
    <w:p>
      <w:pPr>
        <w:rPr>
          <w:color w:val="auto"/>
        </w:rPr>
      </w:pPr>
    </w:p>
    <w:p>
      <w:pPr>
        <w:widowControl/>
        <w:jc w:val="left"/>
        <w:rPr>
          <w:rFonts w:ascii="微软雅黑" w:hAnsi="微软雅黑" w:eastAsia="微软雅黑"/>
          <w:color w:val="auto"/>
          <w:sz w:val="24"/>
          <w:szCs w:val="24"/>
        </w:rPr>
      </w:pPr>
      <w:r>
        <w:rPr>
          <w:rFonts w:ascii="微软雅黑" w:hAnsi="微软雅黑" w:eastAsia="微软雅黑"/>
          <w:b/>
          <w:color w:val="auto"/>
          <w:sz w:val="30"/>
          <w:szCs w:val="30"/>
        </w:rPr>
        <w:br w:type="page"/>
      </w:r>
      <w:bookmarkStart w:id="21" w:name="_Toc374091291"/>
      <w:r>
        <w:rPr>
          <w:rFonts w:ascii="微软雅黑" w:hAnsi="微软雅黑" w:eastAsia="微软雅黑"/>
          <w:color w:val="auto"/>
          <w:sz w:val="24"/>
          <w:szCs w:val="24"/>
        </w:rPr>
        <w:br w:type="page"/>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rPr>
      </w:pPr>
      <w:r>
        <w:rPr>
          <w:rFonts w:hint="eastAsia" w:ascii="微软雅黑" w:hAnsi="微软雅黑" w:eastAsia="微软雅黑"/>
          <w:b/>
          <w:color w:val="auto"/>
          <w:sz w:val="24"/>
          <w:szCs w:val="24"/>
          <w:u w:val="single"/>
        </w:rPr>
        <w:t>奖学金</w:t>
      </w:r>
    </w:p>
    <w:p>
      <w:pPr>
        <w:autoSpaceDE w:val="0"/>
        <w:autoSpaceDN w:val="0"/>
        <w:adjustRightInd w:val="0"/>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财政部、教育部印发了《港澳及华侨学生奖学金管理办法》，已下发到各地方财政部门、教育局和各直属高校，为到内地就读的港澳学生专门设立港澳及华侨学生奖学金，参照内地学生奖学金政策体系为港澳学生增设「特等奖」，并增加了港澳学生的奖学金名额及大幅提高了奖学金奖励标准。欲了解上述《管理办法》的具体内容，请参阅国务院港澳事务办公室的公告：</w:t>
      </w:r>
    </w:p>
    <w:p>
      <w:pPr>
        <w:autoSpaceDE w:val="0"/>
        <w:autoSpaceDN w:val="0"/>
        <w:adjustRightInd w:val="0"/>
        <w:spacing w:before="156" w:beforeLines="50" w:line="400" w:lineRule="exact"/>
        <w:rPr>
          <w:rFonts w:ascii="微软雅黑" w:hAnsi="微软雅黑" w:eastAsia="微软雅黑"/>
          <w:color w:val="auto"/>
          <w:sz w:val="24"/>
          <w:szCs w:val="24"/>
        </w:rPr>
      </w:pPr>
      <w:r>
        <w:rPr>
          <w:color w:val="auto"/>
        </w:rPr>
        <w:fldChar w:fldCharType="begin"/>
      </w:r>
      <w:r>
        <w:rPr>
          <w:color w:val="auto"/>
        </w:rPr>
        <w:instrText xml:space="preserve"> HYPERLINK "http://www.hmo.gov.cn/xwzx/zwyw/201712/t20171213_1602.html" </w:instrText>
      </w:r>
      <w:r>
        <w:rPr>
          <w:color w:val="auto"/>
        </w:rPr>
        <w:fldChar w:fldCharType="separate"/>
      </w:r>
      <w:r>
        <w:rPr>
          <w:rFonts w:ascii="微软雅黑" w:hAnsi="微软雅黑" w:eastAsia="微软雅黑"/>
          <w:color w:val="auto"/>
          <w:sz w:val="24"/>
          <w:szCs w:val="24"/>
        </w:rPr>
        <w:t>http://www.hmo.gov.cn/xwzx/zwyw/201712/t20171213_1602.html</w:t>
      </w:r>
      <w:r>
        <w:rPr>
          <w:rFonts w:ascii="微软雅黑" w:hAnsi="微软雅黑" w:eastAsia="微软雅黑"/>
          <w:color w:val="auto"/>
          <w:sz w:val="24"/>
          <w:szCs w:val="24"/>
        </w:rPr>
        <w:fldChar w:fldCharType="end"/>
      </w:r>
    </w:p>
    <w:bookmarkEnd w:id="21"/>
    <w:p>
      <w:pPr>
        <w:pStyle w:val="28"/>
        <w:numPr>
          <w:numId w:val="0"/>
        </w:numPr>
        <w:spacing w:before="624" w:beforeLines="200" w:line="400" w:lineRule="exact"/>
        <w:ind w:leftChars="-200"/>
        <w:outlineLvl w:val="1"/>
        <w:rPr>
          <w:rFonts w:ascii="微软雅黑" w:hAnsi="微软雅黑" w:eastAsia="微软雅黑"/>
          <w:color w:val="auto"/>
          <w:sz w:val="24"/>
          <w:szCs w:val="24"/>
        </w:rPr>
      </w:pPr>
      <w:r>
        <w:rPr>
          <w:rFonts w:ascii="微软雅黑" w:hAnsi="微软雅黑" w:eastAsia="微软雅黑"/>
          <w:color w:val="auto"/>
          <w:sz w:val="24"/>
          <w:szCs w:val="24"/>
        </w:rPr>
        <w:br w:type="page"/>
      </w:r>
    </w:p>
    <w:p>
      <w:pPr>
        <w:pStyle w:val="28"/>
        <w:numPr>
          <w:ilvl w:val="0"/>
          <w:numId w:val="1"/>
        </w:numPr>
        <w:spacing w:line="480" w:lineRule="auto"/>
        <w:ind w:left="720" w:hanging="720" w:hangingChars="200"/>
        <w:outlineLvl w:val="0"/>
        <w:rPr>
          <w:rFonts w:ascii="微软雅黑" w:hAnsi="微软雅黑" w:eastAsia="微软雅黑"/>
          <w:b/>
          <w:color w:val="auto"/>
          <w:sz w:val="36"/>
          <w:szCs w:val="24"/>
          <w:lang w:eastAsia="zh-TW"/>
        </w:rPr>
      </w:pPr>
      <w:bookmarkStart w:id="22" w:name="_Toc475364387"/>
      <w:r>
        <w:rPr>
          <w:rFonts w:hint="eastAsia" w:ascii="微软雅黑" w:hAnsi="微软雅黑" w:eastAsia="微软雅黑"/>
          <w:b/>
          <w:color w:val="auto"/>
          <w:sz w:val="36"/>
          <w:szCs w:val="24"/>
        </w:rPr>
        <w:t>婚姻及生育</w:t>
      </w:r>
      <w:bookmarkEnd w:id="22"/>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婚姻登记</w:t>
      </w:r>
    </w:p>
    <w:p>
      <w:pPr>
        <w:autoSpaceDE w:val="0"/>
        <w:autoSpaceDN w:val="0"/>
        <w:adjustRightInd w:val="0"/>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若打算在内地缔结婚姻，须依照内地法规办理婚姻登记手续。内地登记婚姻工作是由省、市、自治区政府的民政部门，或有关民政部门所确定的机关负责。详情可参阅四川省民政厅网站（</w:t>
      </w:r>
      <w:r>
        <w:rPr>
          <w:color w:val="auto"/>
        </w:rPr>
        <w:fldChar w:fldCharType="begin"/>
      </w:r>
      <w:r>
        <w:rPr>
          <w:color w:val="auto"/>
        </w:rPr>
        <w:instrText xml:space="preserve"> HYPERLINK "http://www.scmz.gov.cn" </w:instrText>
      </w:r>
      <w:r>
        <w:rPr>
          <w:color w:val="auto"/>
        </w:rPr>
        <w:fldChar w:fldCharType="separate"/>
      </w:r>
      <w:r>
        <w:rPr>
          <w:rFonts w:ascii="微软雅黑" w:hAnsi="微软雅黑" w:eastAsia="微软雅黑"/>
          <w:color w:val="auto"/>
          <w:sz w:val="24"/>
          <w:szCs w:val="24"/>
        </w:rPr>
        <w:t>http://www.scmz.gov.cn</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w:t>
      </w:r>
    </w:p>
    <w:p>
      <w:pPr>
        <w:autoSpaceDE w:val="0"/>
        <w:autoSpaceDN w:val="0"/>
        <w:adjustRightInd w:val="0"/>
        <w:spacing w:line="400" w:lineRule="exact"/>
        <w:rPr>
          <w:rFonts w:ascii="微软雅黑" w:hAnsi="微软雅黑" w:eastAsia="微软雅黑"/>
          <w:color w:val="auto"/>
          <w:sz w:val="24"/>
          <w:szCs w:val="24"/>
        </w:rPr>
      </w:pPr>
    </w:p>
    <w:p>
      <w:pPr>
        <w:spacing w:line="400" w:lineRule="exact"/>
        <w:jc w:val="left"/>
        <w:rPr>
          <w:rFonts w:ascii="微软雅黑" w:hAnsi="微软雅黑" w:eastAsia="微软雅黑" w:cs="宋体"/>
          <w:color w:val="auto"/>
          <w:kern w:val="0"/>
          <w:sz w:val="24"/>
          <w:szCs w:val="24"/>
        </w:rPr>
      </w:pPr>
      <w:r>
        <w:rPr>
          <w:rFonts w:hint="eastAsia" w:ascii="微软雅黑" w:hAnsi="微软雅黑" w:eastAsia="微软雅黑"/>
          <w:color w:val="auto"/>
          <w:sz w:val="24"/>
          <w:szCs w:val="24"/>
        </w:rPr>
        <w:t>成都市负责办理涉外婚姻登记（结婚和离婚）的机关为四川省民政厅婚姻登记处，地址：</w:t>
      </w:r>
      <w:bookmarkStart w:id="23" w:name="_Hlk487025967"/>
      <w:r>
        <w:rPr>
          <w:rFonts w:hint="eastAsia" w:ascii="微软雅黑" w:hAnsi="微软雅黑" w:eastAsia="微软雅黑"/>
          <w:color w:val="auto"/>
          <w:sz w:val="24"/>
          <w:szCs w:val="24"/>
        </w:rPr>
        <w:t>成都市东大街芷泉段</w:t>
      </w:r>
      <w:r>
        <w:rPr>
          <w:rFonts w:ascii="微软雅黑" w:hAnsi="微软雅黑" w:eastAsia="微软雅黑"/>
          <w:color w:val="auto"/>
          <w:sz w:val="24"/>
          <w:szCs w:val="24"/>
        </w:rPr>
        <w:t>15</w:t>
      </w:r>
      <w:r>
        <w:rPr>
          <w:rFonts w:hint="eastAsia" w:ascii="微软雅黑" w:hAnsi="微软雅黑" w:eastAsia="微软雅黑"/>
          <w:color w:val="auto"/>
          <w:sz w:val="24"/>
          <w:szCs w:val="24"/>
        </w:rPr>
        <w:t>号</w:t>
      </w:r>
      <w:r>
        <w:rPr>
          <w:rFonts w:ascii="微软雅黑" w:hAnsi="微软雅黑" w:eastAsia="微软雅黑"/>
          <w:color w:val="auto"/>
          <w:sz w:val="24"/>
          <w:szCs w:val="24"/>
        </w:rPr>
        <w:t>/</w:t>
      </w:r>
      <w:r>
        <w:rPr>
          <w:rFonts w:hint="eastAsia" w:ascii="微软雅黑" w:hAnsi="微软雅黑" w:eastAsia="微软雅黑"/>
          <w:color w:val="auto"/>
          <w:sz w:val="24"/>
          <w:szCs w:val="24"/>
        </w:rPr>
        <w:t>成都市均隆街</w:t>
      </w:r>
      <w:r>
        <w:rPr>
          <w:rFonts w:ascii="微软雅黑" w:hAnsi="微软雅黑" w:eastAsia="微软雅黑"/>
          <w:color w:val="auto"/>
          <w:sz w:val="24"/>
          <w:szCs w:val="24"/>
        </w:rPr>
        <w:t>8</w:t>
      </w:r>
      <w:r>
        <w:rPr>
          <w:rFonts w:hint="eastAsia" w:ascii="微软雅黑" w:hAnsi="微软雅黑" w:eastAsia="微软雅黑"/>
          <w:color w:val="auto"/>
          <w:sz w:val="24"/>
          <w:szCs w:val="24"/>
        </w:rPr>
        <w:t>号，电话：</w:t>
      </w:r>
      <w:bookmarkEnd w:id="23"/>
      <w:r>
        <w:rPr>
          <w:rFonts w:ascii="微软雅黑" w:hAnsi="微软雅黑" w:eastAsia="微软雅黑"/>
          <w:color w:val="auto"/>
          <w:sz w:val="24"/>
          <w:szCs w:val="24"/>
        </w:rPr>
        <w:t>(028)84423089/ (028)84423097</w:t>
      </w:r>
      <w:r>
        <w:rPr>
          <w:rFonts w:hint="eastAsia" w:ascii="微软雅黑" w:hAnsi="微软雅黑" w:eastAsia="微软雅黑"/>
          <w:color w:val="auto"/>
          <w:sz w:val="24"/>
          <w:szCs w:val="24"/>
        </w:rPr>
        <w:t>。</w:t>
      </w:r>
    </w:p>
    <w:p>
      <w:pPr>
        <w:pStyle w:val="28"/>
        <w:numPr>
          <w:ilvl w:val="0"/>
          <w:numId w:val="4"/>
        </w:numPr>
        <w:spacing w:before="468" w:beforeLines="150" w:line="400" w:lineRule="exact"/>
        <w:ind w:left="480" w:hanging="480" w:hangingChars="200"/>
        <w:rPr>
          <w:rFonts w:ascii="微软雅黑" w:hAnsi="微软雅黑" w:eastAsia="微软雅黑"/>
          <w:b/>
          <w:color w:val="auto"/>
          <w:sz w:val="24"/>
          <w:szCs w:val="24"/>
          <w:u w:val="single"/>
        </w:rPr>
      </w:pPr>
      <w:r>
        <w:rPr>
          <w:rFonts w:hint="eastAsia" w:ascii="微软雅黑" w:hAnsi="微软雅黑" w:eastAsia="微软雅黑"/>
          <w:b/>
          <w:color w:val="auto"/>
          <w:sz w:val="24"/>
          <w:szCs w:val="24"/>
          <w:u w:val="single"/>
        </w:rPr>
        <w:t>在成都结婚登记办理条件</w:t>
      </w:r>
    </w:p>
    <w:p>
      <w:pPr>
        <w:numPr>
          <w:ilvl w:val="0"/>
          <w:numId w:val="21"/>
        </w:numPr>
        <w:autoSpaceDE w:val="0"/>
        <w:autoSpaceDN w:val="0"/>
        <w:adjustRightInd w:val="0"/>
        <w:spacing w:before="312" w:beforeLines="100"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男女双方自愿结婚，且共同到婚姻登记处提出申请；</w:t>
      </w:r>
    </w:p>
    <w:p>
      <w:pPr>
        <w:numPr>
          <w:ilvl w:val="0"/>
          <w:numId w:val="21"/>
        </w:numPr>
        <w:autoSpaceDE w:val="0"/>
        <w:autoSpaceDN w:val="0"/>
        <w:adjustRightInd w:val="0"/>
        <w:spacing w:before="46" w:beforeLines="1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婚姻当事人一方户籍所在地为成都市；</w:t>
      </w:r>
    </w:p>
    <w:p>
      <w:pPr>
        <w:numPr>
          <w:ilvl w:val="0"/>
          <w:numId w:val="21"/>
        </w:numPr>
        <w:autoSpaceDE w:val="0"/>
        <w:autoSpaceDN w:val="0"/>
        <w:adjustRightInd w:val="0"/>
        <w:spacing w:before="46" w:beforeLines="1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男方年满</w:t>
      </w:r>
      <w:r>
        <w:rPr>
          <w:rFonts w:ascii="微软雅黑" w:hAnsi="微软雅黑" w:eastAsia="微软雅黑"/>
          <w:color w:val="auto"/>
          <w:sz w:val="24"/>
          <w:szCs w:val="24"/>
        </w:rPr>
        <w:t>22</w:t>
      </w:r>
      <w:r>
        <w:rPr>
          <w:rFonts w:hint="eastAsia" w:ascii="微软雅黑" w:hAnsi="微软雅黑" w:eastAsia="微软雅黑"/>
          <w:color w:val="auto"/>
          <w:sz w:val="24"/>
          <w:szCs w:val="24"/>
        </w:rPr>
        <w:t>周岁，女方年满</w:t>
      </w:r>
      <w:r>
        <w:rPr>
          <w:rFonts w:ascii="微软雅黑" w:hAnsi="微软雅黑" w:eastAsia="微软雅黑"/>
          <w:color w:val="auto"/>
          <w:sz w:val="24"/>
          <w:szCs w:val="24"/>
        </w:rPr>
        <w:t>20</w:t>
      </w:r>
      <w:r>
        <w:rPr>
          <w:rFonts w:hint="eastAsia" w:ascii="微软雅黑" w:hAnsi="微软雅黑" w:eastAsia="微软雅黑"/>
          <w:color w:val="auto"/>
          <w:sz w:val="24"/>
          <w:szCs w:val="24"/>
        </w:rPr>
        <w:t>周岁；</w:t>
      </w:r>
    </w:p>
    <w:p>
      <w:pPr>
        <w:numPr>
          <w:ilvl w:val="0"/>
          <w:numId w:val="21"/>
        </w:numPr>
        <w:autoSpaceDE w:val="0"/>
        <w:autoSpaceDN w:val="0"/>
        <w:adjustRightInd w:val="0"/>
        <w:spacing w:before="46" w:beforeLines="15" w:line="400" w:lineRule="exact"/>
        <w:ind w:left="480" w:hanging="480" w:hangingChars="200"/>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均无配偶；以及</w:t>
      </w:r>
    </w:p>
    <w:p>
      <w:pPr>
        <w:numPr>
          <w:ilvl w:val="0"/>
          <w:numId w:val="21"/>
        </w:numPr>
        <w:spacing w:before="46" w:beforeLines="1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均未患有医学上认为不应该结婚的疾病，不属于直系血亲或者三代以内的旁系血亲关系。</w:t>
      </w:r>
    </w:p>
    <w:p>
      <w:pPr>
        <w:pStyle w:val="28"/>
        <w:numPr>
          <w:ilvl w:val="0"/>
          <w:numId w:val="4"/>
        </w:numPr>
        <w:spacing w:before="390" w:beforeLines="125" w:line="400" w:lineRule="exact"/>
        <w:ind w:left="480" w:hanging="480" w:hangingChars="200"/>
        <w:rPr>
          <w:rFonts w:ascii="微软雅黑" w:hAnsi="微软雅黑" w:eastAsia="微软雅黑"/>
          <w:b/>
          <w:color w:val="auto"/>
          <w:sz w:val="24"/>
          <w:szCs w:val="24"/>
          <w:u w:val="single"/>
        </w:rPr>
      </w:pPr>
      <w:r>
        <w:rPr>
          <w:rFonts w:hint="eastAsia" w:ascii="微软雅黑" w:hAnsi="微软雅黑" w:eastAsia="微软雅黑"/>
          <w:b/>
          <w:color w:val="auto"/>
          <w:sz w:val="24"/>
          <w:szCs w:val="24"/>
          <w:u w:val="single"/>
        </w:rPr>
        <w:t>婚假制度</w:t>
      </w:r>
    </w:p>
    <w:p>
      <w:pPr>
        <w:spacing w:before="312" w:beforeLines="100" w:line="400" w:lineRule="exact"/>
        <w:rPr>
          <w:rFonts w:ascii="微软雅黑" w:hAnsi="微软雅黑" w:eastAsia="微软雅黑"/>
          <w:color w:val="auto"/>
          <w:sz w:val="24"/>
          <w:szCs w:val="24"/>
        </w:rPr>
      </w:pPr>
      <w:r>
        <w:rPr>
          <w:rFonts w:ascii="微软雅黑" w:hAnsi="微软雅黑" w:eastAsia="微软雅黑"/>
          <w:color w:val="auto"/>
          <w:sz w:val="24"/>
          <w:szCs w:val="24"/>
        </w:rPr>
        <w:t>2016</w:t>
      </w:r>
      <w:r>
        <w:rPr>
          <w:rFonts w:hint="eastAsia" w:ascii="微软雅黑" w:hAnsi="微软雅黑" w:eastAsia="微软雅黑"/>
          <w:color w:val="auto"/>
          <w:sz w:val="24"/>
          <w:szCs w:val="24"/>
        </w:rPr>
        <w:t>年</w:t>
      </w:r>
      <w:r>
        <w:rPr>
          <w:rFonts w:ascii="微软雅黑" w:hAnsi="微软雅黑" w:eastAsia="微软雅黑"/>
          <w:color w:val="auto"/>
          <w:sz w:val="24"/>
          <w:szCs w:val="24"/>
        </w:rPr>
        <w:t>1</w:t>
      </w:r>
      <w:r>
        <w:rPr>
          <w:rFonts w:hint="eastAsia" w:ascii="微软雅黑" w:hAnsi="微软雅黑" w:eastAsia="微软雅黑"/>
          <w:color w:val="auto"/>
          <w:sz w:val="24"/>
          <w:szCs w:val="24"/>
        </w:rPr>
        <w:t>月</w:t>
      </w:r>
      <w:r>
        <w:rPr>
          <w:rFonts w:ascii="微软雅黑" w:hAnsi="微软雅黑" w:eastAsia="微软雅黑"/>
          <w:color w:val="auto"/>
          <w:sz w:val="24"/>
          <w:szCs w:val="24"/>
        </w:rPr>
        <w:t>22</w:t>
      </w:r>
      <w:r>
        <w:rPr>
          <w:rFonts w:hint="eastAsia" w:ascii="微软雅黑" w:hAnsi="微软雅黑" w:eastAsia="微软雅黑"/>
          <w:color w:val="auto"/>
          <w:sz w:val="24"/>
          <w:szCs w:val="24"/>
        </w:rPr>
        <w:t>日下午，四川省第十二届人大常委会第二十一次会议审议通过《四川省人口与计划生育条例》（修正案），明确四川省实施「全面两孩」政策的配套措施。根据最新修订条例，四川删除原来的晚婚晚育奖励规定。原有的</w:t>
      </w:r>
      <w:r>
        <w:rPr>
          <w:rFonts w:ascii="微软雅黑" w:hAnsi="微软雅黑" w:eastAsia="微软雅黑"/>
          <w:color w:val="auto"/>
          <w:sz w:val="24"/>
          <w:szCs w:val="24"/>
        </w:rPr>
        <w:t>23</w:t>
      </w:r>
      <w:r>
        <w:rPr>
          <w:rFonts w:hint="eastAsia" w:ascii="微软雅黑" w:hAnsi="微软雅黑" w:eastAsia="微软雅黑"/>
          <w:color w:val="auto"/>
          <w:sz w:val="24"/>
          <w:szCs w:val="24"/>
        </w:rPr>
        <w:t>天晚婚假取消，变更为</w:t>
      </w:r>
      <w:r>
        <w:rPr>
          <w:rFonts w:ascii="微软雅黑" w:hAnsi="微软雅黑" w:eastAsia="微软雅黑"/>
          <w:color w:val="auto"/>
          <w:sz w:val="24"/>
          <w:szCs w:val="24"/>
        </w:rPr>
        <w:t>3</w:t>
      </w:r>
      <w:r>
        <w:rPr>
          <w:rFonts w:hint="eastAsia" w:ascii="微软雅黑" w:hAnsi="微软雅黑" w:eastAsia="微软雅黑"/>
          <w:color w:val="auto"/>
          <w:sz w:val="24"/>
          <w:szCs w:val="24"/>
        </w:rPr>
        <w:t>天。</w:t>
      </w:r>
    </w:p>
    <w:p>
      <w:pPr>
        <w:pStyle w:val="28"/>
        <w:keepNext/>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生育子女</w:t>
      </w:r>
    </w:p>
    <w:p>
      <w:pPr>
        <w:autoSpaceDE w:val="0"/>
        <w:autoSpaceDN w:val="0"/>
        <w:adjustRightInd w:val="0"/>
        <w:spacing w:before="156" w:beforeLines="50" w:line="400" w:lineRule="exact"/>
        <w:ind w:firstLine="480" w:firstLineChars="200"/>
        <w:rPr>
          <w:rFonts w:ascii="微软雅黑" w:hAnsi="微软雅黑" w:eastAsia="微软雅黑"/>
          <w:color w:val="auto"/>
          <w:sz w:val="24"/>
          <w:szCs w:val="24"/>
          <w:lang w:eastAsia="zh-TW"/>
        </w:rPr>
      </w:pPr>
      <w:bookmarkStart w:id="24" w:name="_Toc374091301"/>
      <w:r>
        <w:rPr>
          <w:rFonts w:hint="eastAsia" w:ascii="微软雅黑" w:hAnsi="微软雅黑" w:eastAsia="微软雅黑"/>
          <w:color w:val="auto"/>
          <w:sz w:val="24"/>
          <w:szCs w:val="24"/>
        </w:rPr>
        <w:t>若小孩在中国内地出生，父母为其办理内地户口，需到内地户口所在地的县（市、区）公安办证中心或未成立办证中心的县（市、区）公安派出所办理。办理入户所需材料如下：</w:t>
      </w:r>
    </w:p>
    <w:p>
      <w:pPr>
        <w:pStyle w:val="28"/>
        <w:numPr>
          <w:ilvl w:val="0"/>
          <w:numId w:val="22"/>
        </w:numPr>
        <w:spacing w:before="312" w:beforeLines="100" w:line="400" w:lineRule="exact"/>
        <w:ind w:left="480" w:hanging="480" w:hangingChars="200"/>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入户申请表（入户申请表一般在户口所在地的县（市、区）公安办证中心或未成立办证中心的县（市、区）公安派出所领取）；</w:t>
      </w:r>
    </w:p>
    <w:p>
      <w:pPr>
        <w:pStyle w:val="28"/>
        <w:numPr>
          <w:ilvl w:val="0"/>
          <w:numId w:val="22"/>
        </w:numPr>
        <w:spacing w:before="46" w:beforeLines="15" w:line="400" w:lineRule="exact"/>
        <w:ind w:left="480" w:hanging="480" w:hangingChars="200"/>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父母双方居民身份证（查验原件及</w:t>
      </w:r>
      <w:r>
        <w:rPr>
          <w:rFonts w:ascii="微软雅黑" w:hAnsi="微软雅黑" w:eastAsia="微软雅黑"/>
          <w:color w:val="auto"/>
          <w:sz w:val="24"/>
          <w:szCs w:val="24"/>
        </w:rPr>
        <w:t>1</w:t>
      </w:r>
      <w:r>
        <w:rPr>
          <w:rFonts w:hint="eastAsia" w:ascii="微软雅黑" w:hAnsi="微软雅黑" w:eastAsia="微软雅黑"/>
          <w:color w:val="auto"/>
          <w:sz w:val="24"/>
          <w:szCs w:val="24"/>
        </w:rPr>
        <w:t>份复印件，身份证正反面复印到一张</w:t>
      </w:r>
      <w:r>
        <w:rPr>
          <w:rFonts w:ascii="微软雅黑" w:hAnsi="微软雅黑" w:eastAsia="微软雅黑"/>
          <w:color w:val="auto"/>
          <w:sz w:val="24"/>
          <w:szCs w:val="24"/>
        </w:rPr>
        <w:t>A4</w:t>
      </w:r>
      <w:r>
        <w:rPr>
          <w:rFonts w:hint="eastAsia" w:ascii="微软雅黑" w:hAnsi="微软雅黑" w:eastAsia="微软雅黑"/>
          <w:color w:val="auto"/>
          <w:sz w:val="24"/>
          <w:szCs w:val="24"/>
        </w:rPr>
        <w:t>纸上）；</w:t>
      </w:r>
    </w:p>
    <w:p>
      <w:pPr>
        <w:pStyle w:val="28"/>
        <w:numPr>
          <w:ilvl w:val="0"/>
          <w:numId w:val="22"/>
        </w:numPr>
        <w:spacing w:before="46" w:beforeLines="15" w:line="400" w:lineRule="exact"/>
        <w:ind w:left="480" w:hanging="480" w:hangingChars="200"/>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父母双方户口本（查验原件及</w:t>
      </w:r>
      <w:r>
        <w:rPr>
          <w:rFonts w:ascii="微软雅黑" w:hAnsi="微软雅黑" w:eastAsia="微软雅黑"/>
          <w:color w:val="auto"/>
          <w:sz w:val="24"/>
          <w:szCs w:val="24"/>
        </w:rPr>
        <w:t>1</w:t>
      </w:r>
      <w:r>
        <w:rPr>
          <w:rFonts w:hint="eastAsia" w:ascii="微软雅黑" w:hAnsi="微软雅黑" w:eastAsia="微软雅黑"/>
          <w:color w:val="auto"/>
          <w:sz w:val="24"/>
          <w:szCs w:val="24"/>
        </w:rPr>
        <w:t>份复印件，若是集体户口的，需要本人页和首页）；</w:t>
      </w:r>
    </w:p>
    <w:p>
      <w:pPr>
        <w:pStyle w:val="28"/>
        <w:numPr>
          <w:ilvl w:val="0"/>
          <w:numId w:val="22"/>
        </w:numPr>
        <w:spacing w:before="46" w:beforeLines="15" w:line="400" w:lineRule="exact"/>
        <w:ind w:left="480" w:hanging="480" w:hangingChars="200"/>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父母双方结婚证（查验原件及</w:t>
      </w:r>
      <w:r>
        <w:rPr>
          <w:rFonts w:ascii="微软雅黑" w:hAnsi="微软雅黑" w:eastAsia="微软雅黑"/>
          <w:color w:val="auto"/>
          <w:sz w:val="24"/>
          <w:szCs w:val="24"/>
        </w:rPr>
        <w:t>1</w:t>
      </w:r>
      <w:r>
        <w:rPr>
          <w:rFonts w:hint="eastAsia" w:ascii="微软雅黑" w:hAnsi="微软雅黑" w:eastAsia="微软雅黑"/>
          <w:color w:val="auto"/>
          <w:sz w:val="24"/>
          <w:szCs w:val="24"/>
        </w:rPr>
        <w:t>份复印件）；</w:t>
      </w:r>
    </w:p>
    <w:p>
      <w:pPr>
        <w:pStyle w:val="28"/>
        <w:numPr>
          <w:ilvl w:val="0"/>
          <w:numId w:val="22"/>
        </w:numPr>
        <w:spacing w:before="46" w:beforeLines="15" w:line="400" w:lineRule="exact"/>
        <w:ind w:left="480" w:hanging="480" w:hangingChars="200"/>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《婴儿出生医学证明》（查验原件及</w:t>
      </w:r>
      <w:r>
        <w:rPr>
          <w:rFonts w:ascii="微软雅黑" w:hAnsi="微软雅黑" w:eastAsia="微软雅黑"/>
          <w:color w:val="auto"/>
          <w:sz w:val="24"/>
          <w:szCs w:val="24"/>
        </w:rPr>
        <w:t>1</w:t>
      </w:r>
      <w:r>
        <w:rPr>
          <w:rFonts w:hint="eastAsia" w:ascii="微软雅黑" w:hAnsi="微软雅黑" w:eastAsia="微软雅黑"/>
          <w:color w:val="auto"/>
          <w:sz w:val="24"/>
          <w:szCs w:val="24"/>
        </w:rPr>
        <w:t>份复印件）；</w:t>
      </w:r>
    </w:p>
    <w:p>
      <w:pPr>
        <w:pStyle w:val="28"/>
        <w:numPr>
          <w:ilvl w:val="0"/>
          <w:numId w:val="22"/>
        </w:numPr>
        <w:spacing w:before="46" w:beforeLines="1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《符合法律法规生育通知单》（查验原件及</w:t>
      </w:r>
      <w:r>
        <w:rPr>
          <w:rFonts w:ascii="微软雅黑" w:hAnsi="微软雅黑" w:eastAsia="微软雅黑"/>
          <w:color w:val="auto"/>
          <w:sz w:val="24"/>
          <w:szCs w:val="24"/>
        </w:rPr>
        <w:t>1</w:t>
      </w:r>
      <w:r>
        <w:rPr>
          <w:rFonts w:hint="eastAsia" w:ascii="微软雅黑" w:hAnsi="微软雅黑" w:eastAsia="微软雅黑"/>
          <w:color w:val="auto"/>
          <w:sz w:val="24"/>
          <w:szCs w:val="24"/>
        </w:rPr>
        <w:t>份复印件，出生后应先到街道办事处计划生育办公室作出生统计后，再申报户口）。</w:t>
      </w:r>
    </w:p>
    <w:p>
      <w:pPr>
        <w:autoSpaceDE w:val="0"/>
        <w:autoSpaceDN w:val="0"/>
        <w:adjustRightInd w:val="0"/>
        <w:spacing w:line="400" w:lineRule="exact"/>
        <w:rPr>
          <w:rFonts w:ascii="微软雅黑" w:hAnsi="微软雅黑" w:eastAsia="微软雅黑" w:cs="Times New Roman"/>
          <w:color w:val="auto"/>
          <w:sz w:val="24"/>
          <w:szCs w:val="24"/>
        </w:rPr>
      </w:pPr>
    </w:p>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详细资料请参考四川人民政府网</w:t>
      </w:r>
      <w:r>
        <w:rPr>
          <w:rFonts w:ascii="微软雅黑" w:hAnsi="微软雅黑" w:eastAsia="微软雅黑"/>
          <w:color w:val="auto"/>
          <w:sz w:val="24"/>
          <w:szCs w:val="24"/>
        </w:rPr>
        <w:t>-</w:t>
      </w:r>
      <w:r>
        <w:rPr>
          <w:rFonts w:hint="eastAsia" w:ascii="微软雅黑" w:hAnsi="微软雅黑" w:eastAsia="微软雅黑"/>
          <w:color w:val="auto"/>
          <w:sz w:val="24"/>
          <w:szCs w:val="24"/>
        </w:rPr>
        <w:t>户口办理服务网链接：</w:t>
      </w:r>
    </w:p>
    <w:p>
      <w:pPr>
        <w:spacing w:line="400" w:lineRule="exact"/>
        <w:rPr>
          <w:rFonts w:ascii="微软雅黑" w:hAnsi="微软雅黑" w:eastAsia="微软雅黑"/>
          <w:color w:val="auto"/>
          <w:sz w:val="24"/>
          <w:szCs w:val="24"/>
          <w:lang w:eastAsia="zh-TW"/>
        </w:rPr>
      </w:pPr>
      <w:r>
        <w:rPr>
          <w:color w:val="auto"/>
        </w:rPr>
        <w:fldChar w:fldCharType="begin"/>
      </w:r>
      <w:r>
        <w:rPr>
          <w:color w:val="auto"/>
        </w:rPr>
        <w:instrText xml:space="preserve"> HYPERLINK "http://www.sc.gov.cn/10462/11855/12718/index.shtml" </w:instrText>
      </w:r>
      <w:r>
        <w:rPr>
          <w:color w:val="auto"/>
        </w:rPr>
        <w:fldChar w:fldCharType="separate"/>
      </w:r>
      <w:r>
        <w:rPr>
          <w:rFonts w:ascii="微软雅黑" w:hAnsi="微软雅黑" w:eastAsia="微软雅黑"/>
          <w:color w:val="auto"/>
          <w:sz w:val="24"/>
          <w:szCs w:val="24"/>
        </w:rPr>
        <w:t>http://www.sc.gov.cn/10462/11855/12718/index.shtml</w:t>
      </w:r>
      <w:r>
        <w:rPr>
          <w:rFonts w:ascii="微软雅黑" w:hAnsi="微软雅黑" w:eastAsia="微软雅黑"/>
          <w:color w:val="auto"/>
          <w:sz w:val="24"/>
          <w:szCs w:val="24"/>
        </w:rPr>
        <w:fldChar w:fldCharType="end"/>
      </w:r>
    </w:p>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或拨打成都市公安办证中心电话：(</w:t>
      </w:r>
      <w:r>
        <w:rPr>
          <w:rFonts w:ascii="微软雅黑" w:hAnsi="微软雅黑" w:eastAsia="微软雅黑" w:cs="Times New Roman"/>
          <w:color w:val="auto"/>
          <w:sz w:val="24"/>
          <w:szCs w:val="24"/>
        </w:rPr>
        <w:t>028)</w:t>
      </w:r>
      <w:r>
        <w:rPr>
          <w:rFonts w:ascii="微软雅黑" w:hAnsi="微软雅黑" w:eastAsia="微软雅黑"/>
          <w:color w:val="auto"/>
          <w:sz w:val="24"/>
          <w:szCs w:val="24"/>
        </w:rPr>
        <w:t>86407755</w:t>
      </w:r>
      <w:r>
        <w:rPr>
          <w:rFonts w:hint="eastAsia" w:ascii="微软雅黑" w:hAnsi="微软雅黑" w:eastAsia="微软雅黑"/>
          <w:color w:val="auto"/>
          <w:sz w:val="24"/>
          <w:szCs w:val="24"/>
        </w:rPr>
        <w:t>。</w:t>
      </w:r>
    </w:p>
    <w:p>
      <w:pPr>
        <w:widowControl/>
        <w:jc w:val="left"/>
        <w:rPr>
          <w:rFonts w:ascii="微软雅黑" w:hAnsi="微软雅黑" w:eastAsia="微软雅黑"/>
          <w:b/>
          <w:color w:val="auto"/>
          <w:sz w:val="24"/>
          <w:szCs w:val="24"/>
        </w:rPr>
      </w:pPr>
      <w:r>
        <w:rPr>
          <w:rFonts w:ascii="微软雅黑" w:hAnsi="微软雅黑" w:eastAsia="微软雅黑"/>
          <w:color w:val="auto"/>
          <w:sz w:val="24"/>
          <w:szCs w:val="24"/>
        </w:rPr>
        <w:br w:type="page"/>
      </w:r>
      <w:bookmarkEnd w:id="15"/>
      <w:bookmarkEnd w:id="17"/>
      <w:bookmarkEnd w:id="24"/>
      <w:bookmarkStart w:id="25" w:name="_Toc374091321"/>
    </w:p>
    <w:bookmarkEnd w:id="25"/>
    <w:p>
      <w:pPr>
        <w:pStyle w:val="28"/>
        <w:numPr>
          <w:ilvl w:val="0"/>
          <w:numId w:val="1"/>
        </w:numPr>
        <w:spacing w:line="400" w:lineRule="exact"/>
        <w:ind w:left="720" w:hanging="720" w:hangingChars="200"/>
        <w:outlineLvl w:val="0"/>
        <w:rPr>
          <w:rFonts w:ascii="微软雅黑" w:hAnsi="微软雅黑" w:eastAsia="微软雅黑"/>
          <w:b/>
          <w:color w:val="auto"/>
          <w:sz w:val="36"/>
          <w:szCs w:val="24"/>
          <w:lang w:eastAsia="zh-TW"/>
        </w:rPr>
      </w:pPr>
      <w:bookmarkStart w:id="26" w:name="_Toc475364388"/>
      <w:r>
        <w:rPr>
          <w:rFonts w:hint="eastAsia" w:ascii="微软雅黑" w:hAnsi="微软雅黑" w:eastAsia="微软雅黑"/>
          <w:b/>
          <w:color w:val="auto"/>
          <w:sz w:val="36"/>
          <w:szCs w:val="24"/>
          <w:lang w:eastAsia="zh-CN"/>
        </w:rPr>
        <w:t>公正</w:t>
      </w:r>
      <w:r>
        <w:rPr>
          <w:rFonts w:hint="eastAsia" w:ascii="微软雅黑" w:hAnsi="微软雅黑" w:eastAsia="微软雅黑"/>
          <w:b/>
          <w:color w:val="auto"/>
          <w:sz w:val="36"/>
          <w:szCs w:val="24"/>
        </w:rPr>
        <w:t>服务</w:t>
      </w:r>
      <w:bookmarkEnd w:id="26"/>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bookmarkStart w:id="27" w:name="_Toc374091330"/>
      <w:r>
        <w:rPr>
          <w:rFonts w:hint="eastAsia" w:ascii="微软雅黑" w:hAnsi="微软雅黑" w:eastAsia="微软雅黑"/>
          <w:b/>
          <w:color w:val="auto"/>
          <w:sz w:val="30"/>
          <w:szCs w:val="30"/>
          <w:u w:val="single"/>
        </w:rPr>
        <w:t>成都市公证机构</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根据《中华人民共和国公证法》规定，公证机构一般可以为客户提供的服务包括：合同公证；财产分割公证；招标投标、拍卖公证；婚姻状况、亲属关系、收养关系公证；出生、生存、死亡、身份、经历、学历、学位、职务、职称、有无违法犯罪记录公证；公司章程公证；法律、行政法规规定由公证机构登记的事务；及代写与公证事项有关的法律事务文书等。</w:t>
      </w:r>
    </w:p>
    <w:p>
      <w:pPr>
        <w:widowControl/>
        <w:jc w:val="left"/>
        <w:rPr>
          <w:rFonts w:ascii="微软雅黑" w:hAnsi="微软雅黑" w:eastAsia="微软雅黑"/>
          <w:color w:val="auto"/>
          <w:sz w:val="24"/>
          <w:szCs w:val="24"/>
        </w:rPr>
      </w:pPr>
      <w:r>
        <w:rPr>
          <w:rFonts w:ascii="微软雅黑" w:hAnsi="微软雅黑" w:eastAsia="微软雅黑"/>
          <w:color w:val="auto"/>
          <w:sz w:val="24"/>
          <w:szCs w:val="24"/>
        </w:rPr>
        <w:br w:type="page"/>
      </w:r>
    </w:p>
    <w:p>
      <w:pPr>
        <w:widowControl/>
        <w:spacing w:line="400" w:lineRule="exact"/>
        <w:rPr>
          <w:rFonts w:ascii="微软雅黑" w:hAnsi="微软雅黑" w:eastAsia="微软雅黑"/>
          <w:b/>
          <w:color w:val="auto"/>
          <w:sz w:val="24"/>
          <w:szCs w:val="24"/>
        </w:rPr>
      </w:pPr>
      <w:r>
        <w:rPr>
          <w:rFonts w:hint="eastAsia" w:ascii="微软雅黑" w:hAnsi="微软雅黑" w:eastAsia="微软雅黑"/>
          <w:color w:val="auto"/>
          <w:sz w:val="24"/>
          <w:szCs w:val="24"/>
        </w:rPr>
        <w:t>下文所列公证机构等资料主要来自四川省公证协会、法律评级机构和四川省司法局等机构的公开网页，仅供读者参考。驻成都办对当中资料的准确性、完整性、内容和时效性不作任何明示的或暗示的保证，亦不承担任何因使用表格内资料而造成的损失。您有义务自行核实所有信息的准确性、完整性、内容和时效性，并在有需要时就具体个案或事实情况寻求专业的意见。下表的资料亦无意构成广告或业务招揽，驻成都办不为任何产品，服务或资料内容作宣传。</w:t>
      </w:r>
    </w:p>
    <w:p>
      <w:pPr>
        <w:autoSpaceDE w:val="0"/>
        <w:autoSpaceDN w:val="0"/>
        <w:adjustRightInd w:val="0"/>
        <w:spacing w:line="400" w:lineRule="exact"/>
        <w:rPr>
          <w:rFonts w:ascii="微软雅黑" w:hAnsi="微软雅黑" w:eastAsia="微软雅黑" w:cs="......"/>
          <w:color w:val="auto"/>
          <w:kern w:val="0"/>
          <w:sz w:val="24"/>
          <w:szCs w:val="24"/>
        </w:rPr>
      </w:pPr>
    </w:p>
    <w:p>
      <w:pPr>
        <w:spacing w:after="312" w:afterLines="100"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欲了解更多成都市区公证机构名录，请参考四川省公证协会网站（</w:t>
      </w:r>
      <w:r>
        <w:rPr>
          <w:color w:val="auto"/>
        </w:rPr>
        <w:fldChar w:fldCharType="begin"/>
      </w:r>
      <w:r>
        <w:rPr>
          <w:color w:val="auto"/>
        </w:rPr>
        <w:instrText xml:space="preserve"> HYPERLINK "http://www.scgzw.org/" </w:instrText>
      </w:r>
      <w:r>
        <w:rPr>
          <w:color w:val="auto"/>
        </w:rPr>
        <w:fldChar w:fldCharType="separate"/>
      </w:r>
      <w:r>
        <w:rPr>
          <w:rFonts w:ascii="微软雅黑" w:hAnsi="微软雅黑" w:eastAsia="微软雅黑"/>
          <w:color w:val="auto"/>
          <w:sz w:val="24"/>
          <w:szCs w:val="24"/>
        </w:rPr>
        <w:t>http://www.scgzw.org</w:t>
      </w:r>
      <w:r>
        <w:rPr>
          <w:rFonts w:hint="eastAsia" w:ascii="微软雅黑" w:hAnsi="微软雅黑" w:eastAsia="微软雅黑"/>
          <w:color w:val="auto"/>
          <w:sz w:val="24"/>
          <w:szCs w:val="24"/>
        </w:rPr>
        <w:t>）</w:t>
      </w:r>
      <w:r>
        <w:rPr>
          <w:rFonts w:hint="eastAsia" w:ascii="微软雅黑" w:hAnsi="微软雅黑" w:eastAsia="微软雅黑"/>
          <w:color w:val="auto"/>
          <w:sz w:val="24"/>
          <w:szCs w:val="24"/>
        </w:rPr>
        <w:fldChar w:fldCharType="end"/>
      </w:r>
      <w:r>
        <w:rPr>
          <w:rFonts w:hint="eastAsia" w:ascii="微软雅黑" w:hAnsi="微软雅黑" w:eastAsia="微软雅黑"/>
          <w:color w:val="auto"/>
          <w:sz w:val="24"/>
          <w:szCs w:val="24"/>
        </w:rPr>
        <w:t>。</w:t>
      </w:r>
    </w:p>
    <w:tbl>
      <w:tblPr>
        <w:tblStyle w:val="25"/>
        <w:tblW w:w="94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4399"/>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jc w:val="center"/>
        </w:trPr>
        <w:tc>
          <w:tcPr>
            <w:tcW w:w="3114" w:type="dxa"/>
            <w:shd w:val="clear" w:color="auto" w:fill="A6C9E8"/>
            <w:vAlign w:val="center"/>
          </w:tcPr>
          <w:p>
            <w:pPr>
              <w:spacing w:line="400" w:lineRule="exact"/>
              <w:jc w:val="center"/>
              <w:rPr>
                <w:rFonts w:ascii="微软雅黑" w:hAnsi="微软雅黑" w:eastAsia="微软雅黑"/>
                <w:b/>
                <w:color w:val="auto"/>
                <w:sz w:val="24"/>
                <w:szCs w:val="24"/>
                <w:lang w:eastAsia="zh-TW"/>
              </w:rPr>
            </w:pPr>
            <w:r>
              <w:rPr>
                <w:rFonts w:hint="eastAsia" w:ascii="微软雅黑" w:hAnsi="微软雅黑" w:eastAsia="微软雅黑"/>
                <w:b/>
                <w:color w:val="auto"/>
                <w:sz w:val="24"/>
                <w:szCs w:val="24"/>
              </w:rPr>
              <w:t>名称</w:t>
            </w:r>
          </w:p>
        </w:tc>
        <w:tc>
          <w:tcPr>
            <w:tcW w:w="4399" w:type="dxa"/>
            <w:shd w:val="clear" w:color="auto" w:fill="A6C9E8"/>
            <w:vAlign w:val="center"/>
          </w:tcPr>
          <w:p>
            <w:pPr>
              <w:autoSpaceDE w:val="0"/>
              <w:autoSpaceDN w:val="0"/>
              <w:adjustRightInd w:val="0"/>
              <w:spacing w:line="400" w:lineRule="exact"/>
              <w:jc w:val="center"/>
              <w:rPr>
                <w:rFonts w:ascii="微软雅黑" w:hAnsi="微软雅黑" w:eastAsia="微软雅黑"/>
                <w:b/>
                <w:color w:val="auto"/>
                <w:sz w:val="24"/>
                <w:szCs w:val="24"/>
                <w:lang w:eastAsia="zh-TW"/>
              </w:rPr>
            </w:pPr>
            <w:r>
              <w:rPr>
                <w:rFonts w:hint="eastAsia" w:ascii="微软雅黑" w:hAnsi="微软雅黑" w:eastAsia="微软雅黑"/>
                <w:b/>
                <w:color w:val="auto"/>
                <w:sz w:val="24"/>
                <w:szCs w:val="24"/>
              </w:rPr>
              <w:t>地址</w:t>
            </w:r>
          </w:p>
        </w:tc>
        <w:tc>
          <w:tcPr>
            <w:tcW w:w="1985" w:type="dxa"/>
            <w:shd w:val="clear" w:color="auto" w:fill="A6C9E8"/>
            <w:vAlign w:val="center"/>
          </w:tcPr>
          <w:p>
            <w:pPr>
              <w:autoSpaceDE w:val="0"/>
              <w:autoSpaceDN w:val="0"/>
              <w:adjustRightInd w:val="0"/>
              <w:spacing w:line="400" w:lineRule="exact"/>
              <w:jc w:val="center"/>
              <w:rPr>
                <w:rFonts w:ascii="微软雅黑" w:hAnsi="微软雅黑" w:eastAsia="微软雅黑"/>
                <w:b/>
                <w:color w:val="auto"/>
                <w:sz w:val="24"/>
                <w:szCs w:val="24"/>
                <w:lang w:eastAsia="zh-TW"/>
              </w:rPr>
            </w:pPr>
            <w:r>
              <w:rPr>
                <w:rFonts w:hint="eastAsia" w:ascii="微软雅黑" w:hAnsi="微软雅黑" w:eastAsia="微软雅黑"/>
                <w:b/>
                <w:color w:val="auto"/>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6" w:hRule="exact"/>
          <w:jc w:val="center"/>
        </w:trPr>
        <w:tc>
          <w:tcPr>
            <w:tcW w:w="3114" w:type="dxa"/>
            <w:vAlign w:val="center"/>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四川省成都市律政公证处</w:t>
            </w:r>
          </w:p>
        </w:tc>
        <w:tc>
          <w:tcPr>
            <w:tcW w:w="4399" w:type="dxa"/>
            <w:vAlign w:val="center"/>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成都市少城路</w:t>
            </w:r>
            <w:r>
              <w:rPr>
                <w:rFonts w:ascii="微软雅黑" w:hAnsi="微软雅黑" w:eastAsia="微软雅黑"/>
                <w:color w:val="auto"/>
                <w:sz w:val="24"/>
                <w:szCs w:val="24"/>
              </w:rPr>
              <w:t>27</w:t>
            </w:r>
            <w:r>
              <w:rPr>
                <w:rFonts w:hint="eastAsia" w:ascii="微软雅黑" w:hAnsi="微软雅黑" w:eastAsia="微软雅黑"/>
                <w:color w:val="auto"/>
                <w:sz w:val="24"/>
                <w:szCs w:val="24"/>
              </w:rPr>
              <w:t>号少城大厦</w:t>
            </w:r>
            <w:r>
              <w:rPr>
                <w:rFonts w:ascii="微软雅黑" w:hAnsi="微软雅黑" w:eastAsia="微软雅黑"/>
                <w:color w:val="auto"/>
                <w:sz w:val="24"/>
                <w:szCs w:val="24"/>
              </w:rPr>
              <w:t>1</w:t>
            </w:r>
            <w:r>
              <w:rPr>
                <w:rFonts w:hint="eastAsia" w:ascii="微软雅黑" w:hAnsi="微软雅黑" w:eastAsia="微软雅黑"/>
                <w:color w:val="auto"/>
                <w:sz w:val="24"/>
                <w:szCs w:val="24"/>
              </w:rPr>
              <w:t>楼</w:t>
            </w:r>
            <w:r>
              <w:rPr>
                <w:rFonts w:ascii="微软雅黑" w:hAnsi="微软雅黑" w:eastAsia="微软雅黑"/>
                <w:color w:val="auto"/>
                <w:sz w:val="24"/>
                <w:szCs w:val="24"/>
              </w:rPr>
              <w:t>/4</w:t>
            </w:r>
            <w:r>
              <w:rPr>
                <w:rFonts w:hint="eastAsia" w:ascii="微软雅黑" w:hAnsi="微软雅黑" w:eastAsia="微软雅黑"/>
                <w:color w:val="auto"/>
                <w:sz w:val="24"/>
                <w:szCs w:val="24"/>
              </w:rPr>
              <w:t>楼</w:t>
            </w:r>
            <w:r>
              <w:rPr>
                <w:rFonts w:ascii="微软雅黑" w:hAnsi="微软雅黑" w:eastAsia="微软雅黑"/>
                <w:color w:val="auto"/>
                <w:sz w:val="24"/>
                <w:szCs w:val="24"/>
              </w:rPr>
              <w:t>/5</w:t>
            </w:r>
            <w:r>
              <w:rPr>
                <w:rFonts w:hint="eastAsia" w:ascii="微软雅黑" w:hAnsi="微软雅黑" w:eastAsia="微软雅黑"/>
                <w:color w:val="auto"/>
                <w:sz w:val="24"/>
                <w:szCs w:val="24"/>
              </w:rPr>
              <w:t>楼</w:t>
            </w:r>
          </w:p>
        </w:tc>
        <w:tc>
          <w:tcPr>
            <w:tcW w:w="1985" w:type="dxa"/>
            <w:vAlign w:val="center"/>
          </w:tcPr>
          <w:p>
            <w:pPr>
              <w:autoSpaceDE w:val="0"/>
              <w:autoSpaceDN w:val="0"/>
              <w:adjustRightInd w:val="0"/>
              <w:spacing w:line="400" w:lineRule="exact"/>
              <w:rPr>
                <w:rFonts w:ascii="微软雅黑" w:hAnsi="微软雅黑" w:eastAsia="微软雅黑"/>
                <w:color w:val="auto"/>
                <w:sz w:val="24"/>
                <w:szCs w:val="24"/>
                <w:lang w:eastAsia="zh-TW"/>
              </w:rPr>
            </w:pPr>
            <w:r>
              <w:rPr>
                <w:rFonts w:ascii="微软雅黑" w:hAnsi="微软雅黑" w:eastAsia="微软雅黑"/>
                <w:color w:val="auto"/>
                <w:sz w:val="24"/>
                <w:szCs w:val="24"/>
              </w:rPr>
              <w:t>(028)86261555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exact"/>
          <w:jc w:val="center"/>
        </w:trPr>
        <w:tc>
          <w:tcPr>
            <w:tcW w:w="3114" w:type="dxa"/>
            <w:vAlign w:val="center"/>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四川省成都市国力公证处</w:t>
            </w:r>
          </w:p>
        </w:tc>
        <w:tc>
          <w:tcPr>
            <w:tcW w:w="4399" w:type="dxa"/>
            <w:vAlign w:val="center"/>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成都市顺城大街</w:t>
            </w:r>
            <w:r>
              <w:rPr>
                <w:rFonts w:ascii="微软雅黑" w:hAnsi="微软雅黑" w:eastAsia="微软雅黑"/>
                <w:color w:val="auto"/>
                <w:sz w:val="24"/>
                <w:szCs w:val="24"/>
              </w:rPr>
              <w:t>127</w:t>
            </w:r>
            <w:r>
              <w:rPr>
                <w:rFonts w:hint="eastAsia" w:ascii="微软雅黑" w:hAnsi="微软雅黑" w:eastAsia="微软雅黑"/>
                <w:color w:val="auto"/>
                <w:sz w:val="24"/>
                <w:szCs w:val="24"/>
              </w:rPr>
              <w:t>号嘉好大厦</w:t>
            </w:r>
            <w:r>
              <w:rPr>
                <w:rFonts w:ascii="微软雅黑" w:hAnsi="微软雅黑" w:eastAsia="微软雅黑"/>
                <w:color w:val="auto"/>
                <w:sz w:val="24"/>
                <w:szCs w:val="24"/>
              </w:rPr>
              <w:t>7</w:t>
            </w:r>
            <w:r>
              <w:rPr>
                <w:rFonts w:hint="eastAsia" w:ascii="微软雅黑" w:hAnsi="微软雅黑" w:eastAsia="微软雅黑"/>
                <w:color w:val="auto"/>
                <w:sz w:val="24"/>
                <w:szCs w:val="24"/>
              </w:rPr>
              <w:t>楼</w:t>
            </w:r>
          </w:p>
        </w:tc>
        <w:tc>
          <w:tcPr>
            <w:tcW w:w="1985" w:type="dxa"/>
            <w:vAlign w:val="center"/>
          </w:tcPr>
          <w:p>
            <w:pPr>
              <w:spacing w:line="400" w:lineRule="exact"/>
              <w:rPr>
                <w:rFonts w:ascii="微软雅黑" w:hAnsi="微软雅黑" w:eastAsia="微软雅黑"/>
                <w:color w:val="auto"/>
                <w:sz w:val="24"/>
                <w:szCs w:val="24"/>
              </w:rPr>
            </w:pPr>
            <w:r>
              <w:rPr>
                <w:rFonts w:ascii="微软雅黑" w:hAnsi="微软雅黑" w:eastAsia="微软雅黑"/>
                <w:color w:val="auto"/>
                <w:sz w:val="24"/>
                <w:szCs w:val="24"/>
              </w:rPr>
              <w:t>(028)86758030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exact"/>
          <w:jc w:val="center"/>
        </w:trPr>
        <w:tc>
          <w:tcPr>
            <w:tcW w:w="3114" w:type="dxa"/>
            <w:vAlign w:val="center"/>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四川省成都市中大公证处</w:t>
            </w:r>
          </w:p>
        </w:tc>
        <w:tc>
          <w:tcPr>
            <w:tcW w:w="4399" w:type="dxa"/>
            <w:vAlign w:val="center"/>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成都市内姜街</w:t>
            </w:r>
            <w:r>
              <w:rPr>
                <w:rFonts w:ascii="微软雅黑" w:hAnsi="微软雅黑" w:eastAsia="微软雅黑"/>
                <w:color w:val="auto"/>
                <w:sz w:val="24"/>
                <w:szCs w:val="24"/>
              </w:rPr>
              <w:t>5</w:t>
            </w:r>
            <w:r>
              <w:rPr>
                <w:rFonts w:hint="eastAsia" w:ascii="微软雅黑" w:hAnsi="微软雅黑" w:eastAsia="微软雅黑"/>
                <w:color w:val="auto"/>
                <w:sz w:val="24"/>
                <w:szCs w:val="24"/>
              </w:rPr>
              <w:t>号天涯商厦</w:t>
            </w:r>
          </w:p>
        </w:tc>
        <w:tc>
          <w:tcPr>
            <w:tcW w:w="1985" w:type="dxa"/>
            <w:vAlign w:val="center"/>
          </w:tcPr>
          <w:p>
            <w:pPr>
              <w:spacing w:line="400" w:lineRule="exact"/>
              <w:rPr>
                <w:rFonts w:ascii="微软雅黑" w:hAnsi="微软雅黑" w:eastAsia="微软雅黑"/>
                <w:color w:val="auto"/>
                <w:sz w:val="24"/>
                <w:szCs w:val="24"/>
                <w:lang w:eastAsia="zh-TW"/>
              </w:rPr>
            </w:pPr>
            <w:r>
              <w:rPr>
                <w:rFonts w:ascii="微软雅黑" w:hAnsi="微软雅黑" w:eastAsia="微软雅黑"/>
                <w:color w:val="auto"/>
                <w:sz w:val="24"/>
                <w:szCs w:val="24"/>
              </w:rPr>
              <w:t>(028)86615885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exact"/>
          <w:jc w:val="center"/>
        </w:trPr>
        <w:tc>
          <w:tcPr>
            <w:tcW w:w="3114" w:type="dxa"/>
            <w:vAlign w:val="center"/>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四川省成都市成都公证处</w:t>
            </w:r>
          </w:p>
        </w:tc>
        <w:tc>
          <w:tcPr>
            <w:tcW w:w="4399" w:type="dxa"/>
            <w:vAlign w:val="center"/>
          </w:tcPr>
          <w:p>
            <w:pPr>
              <w:spacing w:line="400" w:lineRule="exac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成都市羊市街</w:t>
            </w:r>
            <w:r>
              <w:rPr>
                <w:rFonts w:ascii="微软雅黑" w:hAnsi="微软雅黑" w:eastAsia="微软雅黑"/>
                <w:color w:val="auto"/>
                <w:sz w:val="24"/>
                <w:szCs w:val="24"/>
              </w:rPr>
              <w:t>22</w:t>
            </w:r>
            <w:r>
              <w:rPr>
                <w:rFonts w:hint="eastAsia" w:ascii="微软雅黑" w:hAnsi="微软雅黑" w:eastAsia="微软雅黑"/>
                <w:color w:val="auto"/>
                <w:sz w:val="24"/>
                <w:szCs w:val="24"/>
              </w:rPr>
              <w:t>号</w:t>
            </w:r>
          </w:p>
        </w:tc>
        <w:tc>
          <w:tcPr>
            <w:tcW w:w="1985" w:type="dxa"/>
            <w:vAlign w:val="center"/>
          </w:tcPr>
          <w:p>
            <w:pPr>
              <w:spacing w:line="400" w:lineRule="exact"/>
              <w:rPr>
                <w:rFonts w:ascii="微软雅黑" w:hAnsi="微软雅黑" w:eastAsia="微软雅黑"/>
                <w:color w:val="auto"/>
                <w:sz w:val="24"/>
                <w:szCs w:val="24"/>
                <w:lang w:eastAsia="zh-TW"/>
              </w:rPr>
            </w:pPr>
            <w:r>
              <w:rPr>
                <w:rFonts w:ascii="微软雅黑" w:hAnsi="微软雅黑" w:eastAsia="微软雅黑"/>
                <w:color w:val="auto"/>
                <w:sz w:val="24"/>
                <w:szCs w:val="24"/>
              </w:rPr>
              <w:t>(028)86255556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exact"/>
          <w:jc w:val="center"/>
        </w:trPr>
        <w:tc>
          <w:tcPr>
            <w:tcW w:w="3114" w:type="dxa"/>
            <w:vAlign w:val="center"/>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四川省成都市蜀都公证处</w:t>
            </w:r>
          </w:p>
        </w:tc>
        <w:tc>
          <w:tcPr>
            <w:tcW w:w="4399" w:type="dxa"/>
            <w:vAlign w:val="center"/>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成都市青羊区商业街</w:t>
            </w:r>
            <w:r>
              <w:rPr>
                <w:rFonts w:ascii="微软雅黑" w:hAnsi="微软雅黑" w:eastAsia="微软雅黑"/>
                <w:color w:val="auto"/>
                <w:sz w:val="24"/>
                <w:szCs w:val="24"/>
              </w:rPr>
              <w:t>3</w:t>
            </w:r>
            <w:r>
              <w:rPr>
                <w:rFonts w:hint="eastAsia" w:ascii="微软雅黑" w:hAnsi="微软雅黑" w:eastAsia="微软雅黑"/>
                <w:color w:val="auto"/>
                <w:sz w:val="24"/>
                <w:szCs w:val="24"/>
              </w:rPr>
              <w:t>号</w:t>
            </w:r>
          </w:p>
        </w:tc>
        <w:tc>
          <w:tcPr>
            <w:tcW w:w="1985" w:type="dxa"/>
            <w:vAlign w:val="center"/>
          </w:tcPr>
          <w:p>
            <w:pPr>
              <w:spacing w:line="400" w:lineRule="exact"/>
              <w:rPr>
                <w:rFonts w:ascii="微软雅黑" w:hAnsi="微软雅黑" w:eastAsia="微软雅黑"/>
                <w:color w:val="auto"/>
                <w:sz w:val="24"/>
                <w:szCs w:val="24"/>
                <w:lang w:eastAsia="zh-TW"/>
              </w:rPr>
            </w:pPr>
            <w:r>
              <w:rPr>
                <w:rFonts w:ascii="微软雅黑" w:hAnsi="微软雅黑" w:eastAsia="微软雅黑"/>
                <w:color w:val="auto"/>
                <w:sz w:val="24"/>
                <w:szCs w:val="24"/>
              </w:rPr>
              <w:t>(028)86259790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exact"/>
          <w:jc w:val="center"/>
        </w:trPr>
        <w:tc>
          <w:tcPr>
            <w:tcW w:w="3114" w:type="dxa"/>
            <w:vAlign w:val="center"/>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四川省成都市金牛公证处</w:t>
            </w:r>
          </w:p>
        </w:tc>
        <w:tc>
          <w:tcPr>
            <w:tcW w:w="4399" w:type="dxa"/>
            <w:vAlign w:val="center"/>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成都市茶店子西街</w:t>
            </w:r>
            <w:r>
              <w:rPr>
                <w:rFonts w:ascii="微软雅黑" w:hAnsi="微软雅黑" w:eastAsia="微软雅黑"/>
                <w:color w:val="auto"/>
                <w:sz w:val="24"/>
                <w:szCs w:val="24"/>
              </w:rPr>
              <w:t>36</w:t>
            </w:r>
            <w:r>
              <w:rPr>
                <w:rFonts w:hint="eastAsia" w:ascii="微软雅黑" w:hAnsi="微软雅黑" w:eastAsia="微软雅黑"/>
                <w:color w:val="auto"/>
                <w:sz w:val="24"/>
                <w:szCs w:val="24"/>
              </w:rPr>
              <w:t>号金璐天下</w:t>
            </w:r>
            <w:r>
              <w:rPr>
                <w:rFonts w:ascii="微软雅黑" w:hAnsi="微软雅黑" w:eastAsia="微软雅黑"/>
                <w:color w:val="auto"/>
                <w:sz w:val="24"/>
                <w:szCs w:val="24"/>
              </w:rPr>
              <w:t>10</w:t>
            </w:r>
            <w:r>
              <w:rPr>
                <w:rFonts w:hint="eastAsia" w:ascii="微软雅黑" w:hAnsi="微软雅黑" w:eastAsia="微软雅黑"/>
                <w:color w:val="auto"/>
                <w:sz w:val="24"/>
                <w:szCs w:val="24"/>
              </w:rPr>
              <w:t>楼</w:t>
            </w:r>
          </w:p>
        </w:tc>
        <w:tc>
          <w:tcPr>
            <w:tcW w:w="1985" w:type="dxa"/>
            <w:vAlign w:val="center"/>
          </w:tcPr>
          <w:p>
            <w:pPr>
              <w:spacing w:line="400" w:lineRule="exact"/>
              <w:rPr>
                <w:rFonts w:ascii="微软雅黑" w:hAnsi="微软雅黑" w:eastAsia="微软雅黑"/>
                <w:color w:val="auto"/>
                <w:sz w:val="24"/>
                <w:szCs w:val="24"/>
                <w:lang w:eastAsia="zh-TW"/>
              </w:rPr>
            </w:pPr>
            <w:r>
              <w:rPr>
                <w:rFonts w:ascii="微软雅黑" w:hAnsi="微软雅黑" w:eastAsia="微软雅黑"/>
                <w:color w:val="auto"/>
                <w:sz w:val="24"/>
                <w:szCs w:val="24"/>
              </w:rPr>
              <w:t>(028)87628600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8" w:hRule="atLeast"/>
          <w:jc w:val="center"/>
        </w:trPr>
        <w:tc>
          <w:tcPr>
            <w:tcW w:w="3114" w:type="dxa"/>
            <w:vAlign w:val="center"/>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四川省成都市成华公证处</w:t>
            </w:r>
          </w:p>
        </w:tc>
        <w:tc>
          <w:tcPr>
            <w:tcW w:w="4399" w:type="dxa"/>
            <w:vAlign w:val="center"/>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成都市成华区建华南巷</w:t>
            </w:r>
            <w:r>
              <w:rPr>
                <w:rFonts w:ascii="微软雅黑" w:hAnsi="微软雅黑" w:eastAsia="微软雅黑"/>
                <w:color w:val="auto"/>
                <w:sz w:val="24"/>
                <w:szCs w:val="24"/>
              </w:rPr>
              <w:t>2</w:t>
            </w:r>
            <w:r>
              <w:rPr>
                <w:rFonts w:hint="eastAsia" w:ascii="微软雅黑" w:hAnsi="微软雅黑" w:eastAsia="微软雅黑"/>
                <w:color w:val="auto"/>
                <w:sz w:val="24"/>
                <w:szCs w:val="24"/>
              </w:rPr>
              <w:t>号附</w:t>
            </w:r>
            <w:r>
              <w:rPr>
                <w:rFonts w:ascii="微软雅黑" w:hAnsi="微软雅黑" w:eastAsia="微软雅黑"/>
                <w:color w:val="auto"/>
                <w:sz w:val="24"/>
                <w:szCs w:val="24"/>
              </w:rPr>
              <w:t>7</w:t>
            </w:r>
            <w:r>
              <w:rPr>
                <w:rFonts w:hint="eastAsia" w:ascii="微软雅黑" w:hAnsi="微软雅黑" w:eastAsia="微软雅黑"/>
                <w:color w:val="auto"/>
                <w:sz w:val="24"/>
                <w:szCs w:val="24"/>
              </w:rPr>
              <w:t>号</w:t>
            </w:r>
          </w:p>
        </w:tc>
        <w:tc>
          <w:tcPr>
            <w:tcW w:w="1985" w:type="dxa"/>
            <w:vAlign w:val="center"/>
          </w:tcPr>
          <w:p>
            <w:pPr>
              <w:spacing w:line="400" w:lineRule="exact"/>
              <w:rPr>
                <w:rFonts w:ascii="微软雅黑" w:hAnsi="微软雅黑" w:eastAsia="微软雅黑"/>
                <w:color w:val="auto"/>
                <w:sz w:val="24"/>
                <w:szCs w:val="24"/>
                <w:lang w:eastAsia="zh-TW"/>
              </w:rPr>
            </w:pPr>
            <w:r>
              <w:rPr>
                <w:rFonts w:ascii="微软雅黑" w:hAnsi="微软雅黑" w:eastAsia="微软雅黑"/>
                <w:color w:val="auto"/>
                <w:sz w:val="24"/>
                <w:szCs w:val="24"/>
              </w:rPr>
              <w:t>(028)84332103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3114" w:type="dxa"/>
            <w:vAlign w:val="center"/>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四川省成都市高新公证处</w:t>
            </w:r>
          </w:p>
        </w:tc>
        <w:tc>
          <w:tcPr>
            <w:tcW w:w="4399" w:type="dxa"/>
            <w:vAlign w:val="center"/>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成都市锦城大道</w:t>
            </w:r>
            <w:r>
              <w:rPr>
                <w:rFonts w:ascii="微软雅黑" w:hAnsi="微软雅黑" w:eastAsia="微软雅黑"/>
                <w:color w:val="auto"/>
                <w:sz w:val="24"/>
                <w:szCs w:val="24"/>
              </w:rPr>
              <w:t>1007</w:t>
            </w:r>
            <w:r>
              <w:rPr>
                <w:rFonts w:hint="eastAsia" w:ascii="微软雅黑" w:hAnsi="微软雅黑" w:eastAsia="微软雅黑"/>
                <w:color w:val="auto"/>
                <w:sz w:val="24"/>
                <w:szCs w:val="24"/>
              </w:rPr>
              <w:t>号</w:t>
            </w:r>
          </w:p>
        </w:tc>
        <w:tc>
          <w:tcPr>
            <w:tcW w:w="1985" w:type="dxa"/>
            <w:vAlign w:val="center"/>
          </w:tcPr>
          <w:p>
            <w:pPr>
              <w:spacing w:line="400" w:lineRule="exact"/>
              <w:rPr>
                <w:rFonts w:ascii="微软雅黑" w:hAnsi="微软雅黑" w:eastAsia="微软雅黑"/>
                <w:color w:val="auto"/>
                <w:sz w:val="24"/>
                <w:szCs w:val="24"/>
                <w:lang w:eastAsia="zh-TW"/>
              </w:rPr>
            </w:pPr>
            <w:r>
              <w:rPr>
                <w:rFonts w:ascii="微软雅黑" w:hAnsi="微软雅黑" w:eastAsia="微软雅黑"/>
                <w:color w:val="auto"/>
                <w:sz w:val="24"/>
                <w:szCs w:val="24"/>
              </w:rPr>
              <w:t>(028)85188148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8" w:hRule="atLeast"/>
          <w:jc w:val="center"/>
        </w:trPr>
        <w:tc>
          <w:tcPr>
            <w:tcW w:w="3114" w:type="dxa"/>
            <w:vAlign w:val="center"/>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四川省成都市武侯区公证处</w:t>
            </w:r>
          </w:p>
        </w:tc>
        <w:tc>
          <w:tcPr>
            <w:tcW w:w="4399" w:type="dxa"/>
            <w:vAlign w:val="center"/>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成都市高升桥东路</w:t>
            </w:r>
            <w:r>
              <w:rPr>
                <w:rFonts w:ascii="微软雅黑" w:hAnsi="微软雅黑" w:eastAsia="微软雅黑"/>
                <w:color w:val="auto"/>
                <w:sz w:val="24"/>
                <w:szCs w:val="24"/>
              </w:rPr>
              <w:t>16</w:t>
            </w:r>
            <w:r>
              <w:rPr>
                <w:rFonts w:hint="eastAsia" w:ascii="微软雅黑" w:hAnsi="微软雅黑" w:eastAsia="微软雅黑"/>
                <w:color w:val="auto"/>
                <w:sz w:val="24"/>
                <w:szCs w:val="24"/>
              </w:rPr>
              <w:t>号（武侯区政府第二办公区一楼）</w:t>
            </w:r>
          </w:p>
        </w:tc>
        <w:tc>
          <w:tcPr>
            <w:tcW w:w="1985" w:type="dxa"/>
            <w:vAlign w:val="center"/>
          </w:tcPr>
          <w:p>
            <w:pPr>
              <w:spacing w:line="400" w:lineRule="exact"/>
              <w:rPr>
                <w:rFonts w:ascii="微软雅黑" w:hAnsi="微软雅黑" w:eastAsia="微软雅黑"/>
                <w:color w:val="auto"/>
                <w:sz w:val="24"/>
                <w:szCs w:val="24"/>
              </w:rPr>
            </w:pPr>
            <w:r>
              <w:rPr>
                <w:rFonts w:ascii="微软雅黑" w:hAnsi="微软雅黑" w:eastAsia="微软雅黑"/>
                <w:color w:val="auto"/>
                <w:sz w:val="24"/>
                <w:szCs w:val="24"/>
              </w:rPr>
              <w:t>(028)85068844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3114" w:type="dxa"/>
            <w:vAlign w:val="center"/>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四川省成都市锦江区公证处</w:t>
            </w:r>
          </w:p>
        </w:tc>
        <w:tc>
          <w:tcPr>
            <w:tcW w:w="4399" w:type="dxa"/>
            <w:vAlign w:val="center"/>
          </w:tcPr>
          <w:p>
            <w:pPr>
              <w:spacing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成都市锦江区福字街</w:t>
            </w:r>
            <w:r>
              <w:rPr>
                <w:rFonts w:ascii="微软雅黑" w:hAnsi="微软雅黑" w:eastAsia="微软雅黑"/>
                <w:color w:val="auto"/>
                <w:sz w:val="24"/>
                <w:szCs w:val="24"/>
              </w:rPr>
              <w:t>86</w:t>
            </w:r>
            <w:r>
              <w:rPr>
                <w:rFonts w:hint="eastAsia" w:ascii="微软雅黑" w:hAnsi="微软雅黑" w:eastAsia="微软雅黑"/>
                <w:color w:val="auto"/>
                <w:sz w:val="24"/>
                <w:szCs w:val="24"/>
              </w:rPr>
              <w:t>号附</w:t>
            </w:r>
            <w:r>
              <w:rPr>
                <w:rFonts w:ascii="微软雅黑" w:hAnsi="微软雅黑" w:eastAsia="微软雅黑"/>
                <w:color w:val="auto"/>
                <w:sz w:val="24"/>
                <w:szCs w:val="24"/>
              </w:rPr>
              <w:t>8-14</w:t>
            </w:r>
            <w:r>
              <w:rPr>
                <w:rFonts w:hint="eastAsia" w:ascii="微软雅黑" w:hAnsi="微软雅黑" w:eastAsia="微软雅黑"/>
                <w:color w:val="auto"/>
                <w:sz w:val="24"/>
                <w:szCs w:val="24"/>
              </w:rPr>
              <w:t>号</w:t>
            </w:r>
          </w:p>
        </w:tc>
        <w:tc>
          <w:tcPr>
            <w:tcW w:w="1985" w:type="dxa"/>
            <w:vAlign w:val="center"/>
          </w:tcPr>
          <w:p>
            <w:pPr>
              <w:spacing w:line="400" w:lineRule="exact"/>
              <w:rPr>
                <w:rFonts w:ascii="微软雅黑" w:hAnsi="微软雅黑" w:eastAsia="微软雅黑"/>
                <w:color w:val="auto"/>
                <w:sz w:val="24"/>
                <w:szCs w:val="24"/>
              </w:rPr>
            </w:pPr>
            <w:r>
              <w:rPr>
                <w:rFonts w:ascii="微软雅黑" w:hAnsi="微软雅黑" w:eastAsia="微软雅黑"/>
                <w:color w:val="auto"/>
                <w:sz w:val="24"/>
                <w:szCs w:val="24"/>
              </w:rPr>
              <w:t>(028)86625835</w:t>
            </w:r>
          </w:p>
        </w:tc>
      </w:tr>
    </w:tbl>
    <w:p>
      <w:pPr>
        <w:rPr>
          <w:color w:val="auto"/>
        </w:rPr>
      </w:pPr>
    </w:p>
    <w:p>
      <w:pPr>
        <w:widowControl/>
        <w:jc w:val="left"/>
        <w:rPr>
          <w:rFonts w:ascii="微软雅黑" w:hAnsi="微软雅黑" w:eastAsia="微软雅黑" w:cs="Times New Roman"/>
          <w:b/>
          <w:color w:val="auto"/>
          <w:sz w:val="30"/>
          <w:szCs w:val="30"/>
          <w:u w:val="single"/>
        </w:rPr>
      </w:pPr>
      <w:r>
        <w:rPr>
          <w:rFonts w:ascii="微软雅黑" w:hAnsi="微软雅黑" w:eastAsia="微软雅黑"/>
          <w:b/>
          <w:color w:val="auto"/>
          <w:sz w:val="30"/>
          <w:szCs w:val="30"/>
          <w:u w:val="single"/>
        </w:rPr>
        <w:br w:type="page"/>
      </w:r>
    </w:p>
    <w:p>
      <w:pPr>
        <w:pStyle w:val="28"/>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成都市律师事务所</w:t>
      </w:r>
    </w:p>
    <w:p>
      <w:pPr>
        <w:spacing w:before="312" w:beforeLines="100" w:line="400" w:lineRule="exact"/>
        <w:jc w:val="left"/>
        <w:rPr>
          <w:rFonts w:ascii="微软雅黑" w:hAnsi="微软雅黑" w:eastAsia="微软雅黑"/>
          <w:color w:val="auto"/>
          <w:sz w:val="24"/>
          <w:szCs w:val="24"/>
          <w:lang w:eastAsia="zh-TW"/>
        </w:rPr>
      </w:pPr>
      <w:r>
        <w:rPr>
          <w:rFonts w:hint="eastAsia" w:ascii="微软雅黑" w:hAnsi="微软雅黑" w:eastAsia="微软雅黑"/>
          <w:color w:val="auto"/>
          <w:sz w:val="24"/>
          <w:szCs w:val="24"/>
        </w:rPr>
        <w:t>欲了解更多成都市的律师事务所的联系方式和律师名单，请登陆四川省律师协会网站（</w:t>
      </w:r>
      <w:r>
        <w:rPr>
          <w:color w:val="auto"/>
        </w:rPr>
        <w:fldChar w:fldCharType="begin"/>
      </w:r>
      <w:r>
        <w:rPr>
          <w:color w:val="auto"/>
        </w:rPr>
        <w:instrText xml:space="preserve"> HYPERLINK "http://www.scslsxh.com" </w:instrText>
      </w:r>
      <w:r>
        <w:rPr>
          <w:color w:val="auto"/>
        </w:rPr>
        <w:fldChar w:fldCharType="separate"/>
      </w:r>
      <w:r>
        <w:rPr>
          <w:rFonts w:ascii="微软雅黑" w:hAnsi="微软雅黑" w:eastAsia="微软雅黑"/>
          <w:color w:val="auto"/>
          <w:sz w:val="24"/>
          <w:szCs w:val="24"/>
        </w:rPr>
        <w:t>http://www.scslsxh.com</w:t>
      </w:r>
      <w:r>
        <w:rPr>
          <w:rFonts w:ascii="微软雅黑" w:hAnsi="微软雅黑" w:eastAsia="微软雅黑"/>
          <w:color w:val="auto"/>
          <w:sz w:val="24"/>
          <w:szCs w:val="24"/>
        </w:rPr>
        <w:fldChar w:fldCharType="end"/>
      </w:r>
      <w:r>
        <w:rPr>
          <w:rFonts w:hint="eastAsia" w:ascii="微软雅黑" w:hAnsi="微软雅黑" w:eastAsia="微软雅黑"/>
          <w:color w:val="auto"/>
          <w:sz w:val="24"/>
          <w:szCs w:val="24"/>
        </w:rPr>
        <w:t>）或成都市律师协会网站（</w:t>
      </w:r>
      <w:bookmarkStart w:id="28" w:name="_Hlk487026216"/>
      <w:r>
        <w:rPr>
          <w:rFonts w:ascii="微软雅黑" w:hAnsi="微软雅黑" w:eastAsia="微软雅黑"/>
          <w:color w:val="auto"/>
          <w:sz w:val="24"/>
          <w:szCs w:val="24"/>
        </w:rPr>
        <w:fldChar w:fldCharType="begin"/>
      </w:r>
      <w:r>
        <w:rPr>
          <w:rFonts w:ascii="微软雅黑" w:hAnsi="微软雅黑" w:eastAsia="微软雅黑"/>
          <w:color w:val="auto"/>
          <w:sz w:val="24"/>
          <w:szCs w:val="24"/>
        </w:rPr>
        <w:instrText xml:space="preserve"> HYPERLINK "http://www.cdslsxh.org/" </w:instrText>
      </w:r>
      <w:r>
        <w:rPr>
          <w:rFonts w:ascii="微软雅黑" w:hAnsi="微软雅黑" w:eastAsia="微软雅黑"/>
          <w:color w:val="auto"/>
          <w:sz w:val="24"/>
          <w:szCs w:val="24"/>
        </w:rPr>
        <w:fldChar w:fldCharType="separate"/>
      </w:r>
      <w:r>
        <w:rPr>
          <w:rFonts w:ascii="微软雅黑" w:hAnsi="微软雅黑" w:eastAsia="微软雅黑"/>
          <w:color w:val="auto"/>
          <w:sz w:val="24"/>
          <w:szCs w:val="24"/>
        </w:rPr>
        <w:t>http://www.cdslsxh.org</w:t>
      </w:r>
      <w:r>
        <w:rPr>
          <w:rFonts w:ascii="微软雅黑" w:hAnsi="微软雅黑" w:eastAsia="微软雅黑"/>
          <w:color w:val="auto"/>
          <w:sz w:val="24"/>
          <w:szCs w:val="24"/>
        </w:rPr>
        <w:fldChar w:fldCharType="end"/>
      </w:r>
      <w:bookmarkEnd w:id="28"/>
      <w:r>
        <w:rPr>
          <w:rFonts w:hint="eastAsia" w:ascii="微软雅黑" w:hAnsi="微软雅黑" w:eastAsia="微软雅黑"/>
          <w:color w:val="auto"/>
          <w:sz w:val="24"/>
          <w:szCs w:val="24"/>
        </w:rPr>
        <w:t>）。</w:t>
      </w:r>
    </w:p>
    <w:bookmarkEnd w:id="27"/>
    <w:p>
      <w:pPr>
        <w:pStyle w:val="28"/>
        <w:keepNext/>
        <w:numPr>
          <w:ilvl w:val="0"/>
          <w:numId w:val="2"/>
        </w:numPr>
        <w:spacing w:before="624" w:beforeLines="200" w:line="400" w:lineRule="exact"/>
        <w:ind w:left="600" w:hanging="600" w:hangingChars="200"/>
        <w:outlineLvl w:val="1"/>
        <w:rPr>
          <w:rFonts w:ascii="微软雅黑" w:hAnsi="微软雅黑" w:eastAsia="微软雅黑"/>
          <w:b/>
          <w:color w:val="auto"/>
          <w:sz w:val="30"/>
          <w:szCs w:val="30"/>
          <w:u w:val="single"/>
        </w:rPr>
      </w:pPr>
      <w:r>
        <w:rPr>
          <w:rFonts w:hint="eastAsia" w:ascii="微软雅黑" w:hAnsi="微软雅黑" w:eastAsia="微软雅黑"/>
          <w:b/>
          <w:color w:val="auto"/>
          <w:sz w:val="30"/>
          <w:szCs w:val="30"/>
          <w:u w:val="single"/>
        </w:rPr>
        <w:t>聘用律师及注意事项</w:t>
      </w:r>
    </w:p>
    <w:p>
      <w:pPr>
        <w:spacing w:before="312" w:beforeLines="100" w:line="400" w:lineRule="exact"/>
        <w:rPr>
          <w:rFonts w:ascii="微软雅黑" w:hAnsi="微软雅黑" w:eastAsia="微软雅黑"/>
          <w:color w:val="auto"/>
          <w:sz w:val="24"/>
          <w:szCs w:val="24"/>
        </w:rPr>
      </w:pPr>
      <w:r>
        <w:rPr>
          <w:rFonts w:hint="eastAsia" w:ascii="微软雅黑" w:hAnsi="微软雅黑" w:eastAsia="微软雅黑"/>
          <w:color w:val="auto"/>
          <w:sz w:val="24"/>
          <w:szCs w:val="24"/>
        </w:rPr>
        <w:t>依照中华人民共和国宪法及刑事诉讼法的规定，当事人有权聘请一至两位律师为其提供法律服务。</w:t>
      </w:r>
    </w:p>
    <w:p>
      <w:pPr>
        <w:numPr>
          <w:ilvl w:val="0"/>
          <w:numId w:val="23"/>
        </w:numPr>
        <w:spacing w:before="156" w:beforeLines="50"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当事人可以自己聘请律师，其家属也可以代为聘请；</w:t>
      </w:r>
    </w:p>
    <w:p>
      <w:pPr>
        <w:numPr>
          <w:ilvl w:val="0"/>
          <w:numId w:val="23"/>
        </w:numPr>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当事人提出聘请律师的，侦查机关应当将该项请求转达给该律师或其所在的律师事务所；当事人没有指定律师的，侦查机关应当及时通知当地律师协会或司法行政机关为当事人推荐律师；</w:t>
      </w:r>
    </w:p>
    <w:p>
      <w:pPr>
        <w:numPr>
          <w:ilvl w:val="0"/>
          <w:numId w:val="23"/>
        </w:numPr>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当事人与律师之间必需签订《委托协议》和《授权委托书》，这是律师代表当事人的证明档案；</w:t>
      </w:r>
    </w:p>
    <w:p>
      <w:pPr>
        <w:numPr>
          <w:ilvl w:val="0"/>
          <w:numId w:val="23"/>
        </w:numPr>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当事人可以随时转聘其他律师为其提供法律服务。但律师在接受当事人的委托后，如果没有正当理由，不得拒绝为当事人提供法律服务；</w:t>
      </w:r>
    </w:p>
    <w:p>
      <w:pPr>
        <w:numPr>
          <w:ilvl w:val="0"/>
          <w:numId w:val="23"/>
        </w:numPr>
        <w:spacing w:before="78" w:beforeLines="25" w:line="400" w:lineRule="exact"/>
        <w:ind w:left="480" w:hanging="480" w:hangingChars="200"/>
        <w:rPr>
          <w:rFonts w:ascii="微软雅黑" w:hAnsi="微软雅黑" w:eastAsia="微软雅黑"/>
          <w:color w:val="auto"/>
          <w:sz w:val="24"/>
          <w:szCs w:val="24"/>
        </w:rPr>
      </w:pPr>
      <w:r>
        <w:rPr>
          <w:rFonts w:hint="eastAsia" w:ascii="微软雅黑" w:hAnsi="微软雅黑" w:eastAsia="微软雅黑"/>
          <w:color w:val="auto"/>
          <w:sz w:val="24"/>
          <w:szCs w:val="24"/>
        </w:rPr>
        <w:t>同案的犯罪嫌疑人不得聘请同一名律师。</w:t>
      </w:r>
    </w:p>
    <w:p>
      <w:pPr>
        <w:widowControl/>
        <w:jc w:val="left"/>
        <w:rPr>
          <w:rFonts w:ascii="微软雅黑" w:hAnsi="微软雅黑" w:eastAsia="微软雅黑"/>
          <w:color w:val="auto"/>
          <w:sz w:val="24"/>
          <w:szCs w:val="24"/>
        </w:rPr>
      </w:pPr>
      <w:r>
        <w:rPr>
          <w:rFonts w:ascii="微软雅黑" w:hAnsi="微软雅黑" w:eastAsia="微软雅黑"/>
          <w:color w:val="auto"/>
          <w:sz w:val="24"/>
          <w:szCs w:val="24"/>
        </w:rPr>
        <w:br w:type="page"/>
      </w:r>
    </w:p>
    <w:p>
      <w:pPr>
        <w:pStyle w:val="28"/>
        <w:spacing w:line="400" w:lineRule="exact"/>
        <w:ind w:firstLine="0" w:firstLineChars="0"/>
        <w:jc w:val="center"/>
        <w:outlineLvl w:val="0"/>
        <w:rPr>
          <w:rFonts w:ascii="微软雅黑" w:hAnsi="微软雅黑" w:eastAsia="微软雅黑"/>
          <w:b/>
          <w:color w:val="auto"/>
          <w:sz w:val="32"/>
        </w:rPr>
      </w:pPr>
      <w:bookmarkStart w:id="29" w:name="_Toc475364389"/>
      <w:r>
        <w:rPr>
          <w:rFonts w:hint="eastAsia" w:ascii="微软雅黑" w:hAnsi="微软雅黑" w:eastAsia="微软雅黑"/>
          <w:b/>
          <w:color w:val="auto"/>
          <w:sz w:val="32"/>
        </w:rPr>
        <w:t>免责声明</w:t>
      </w:r>
      <w:bookmarkEnd w:id="29"/>
    </w:p>
    <w:p>
      <w:pPr>
        <w:spacing w:line="400" w:lineRule="exact"/>
        <w:jc w:val="left"/>
        <w:rPr>
          <w:rFonts w:ascii="微软雅黑" w:hAnsi="微软雅黑" w:eastAsia="微软雅黑"/>
          <w:color w:val="auto"/>
          <w:sz w:val="24"/>
          <w:szCs w:val="24"/>
        </w:rPr>
      </w:pPr>
    </w:p>
    <w:p>
      <w:pPr>
        <w:spacing w:line="400" w:lineRule="exact"/>
        <w:jc w:val="left"/>
        <w:rPr>
          <w:rFonts w:ascii="微软雅黑" w:hAnsi="微软雅黑" w:eastAsia="微软雅黑"/>
          <w:color w:val="auto"/>
          <w:sz w:val="24"/>
          <w:szCs w:val="24"/>
        </w:rPr>
      </w:pPr>
      <w:r>
        <w:rPr>
          <w:rFonts w:hint="eastAsia" w:ascii="微软雅黑" w:hAnsi="微软雅黑" w:eastAsia="微软雅黑"/>
          <w:color w:val="auto"/>
          <w:sz w:val="24"/>
          <w:szCs w:val="24"/>
        </w:rPr>
        <w:t>这本小册子的资料主要来自有关机构的公开网页，仅供参考。虽然在编辑过程中力求准确，但对小册子提供的资料的准确性、完整性、内容和时效性不作任何明示的或暗示的保证、陈述或担保，亦不承担任何因使用此小册子的信息而造成的直接的、间接的、特殊的、偶然的、必然的或警示性的损失。您有义务自行核实所有信息的准确性、完整性、内容和时效性。小册子所提供的信息及分析可能不适用于您的具体个案或事实情况。因此，您应该在做出决策之前，寻求专业的咨询服务。小册子所提供的信息无意构成广告或业务招揽，不为任何产品、服务或引用的文字资料内容作宣传。</w:t>
      </w:r>
    </w:p>
    <w:p>
      <w:pPr>
        <w:spacing w:line="400" w:lineRule="exact"/>
        <w:jc w:val="left"/>
        <w:rPr>
          <w:rFonts w:ascii="微软雅黑" w:hAnsi="微软雅黑" w:eastAsia="微软雅黑"/>
          <w:color w:val="auto"/>
          <w:sz w:val="24"/>
          <w:szCs w:val="24"/>
        </w:rPr>
      </w:pPr>
    </w:p>
    <w:sectPr>
      <w:pgSz w:w="11906" w:h="16838"/>
      <w:pgMar w:top="1440" w:right="1800" w:bottom="1440" w:left="1800" w:header="567"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2C22AE2E-2C10-4D8A-9942-71B32458A0AE}"/>
  </w:font>
  <w:font w:name="宋体">
    <w:panose1 w:val="02010600030101010101"/>
    <w:charset w:val="86"/>
    <w:family w:val="auto"/>
    <w:pitch w:val="default"/>
    <w:sig w:usb0="00000003" w:usb1="288F0000" w:usb2="00000006" w:usb3="00000000" w:csb0="00040001" w:csb1="00000000"/>
    <w:embedRegular r:id="rId2" w:fontKey="{99E98CC4-55E8-4F43-A764-FC98BB8A0DDE}"/>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C47718BE-27FC-41D2-AEC7-6527C37E9262}"/>
  </w:font>
  <w:font w:name="方正兰亭细黑">
    <w:altName w:val="Arial Unicode MS"/>
    <w:panose1 w:val="00000000000000000000"/>
    <w:charset w:val="86"/>
    <w:family w:val="swiss"/>
    <w:pitch w:val="default"/>
    <w:sig w:usb0="00000000" w:usb1="00000000" w:usb2="00000010" w:usb3="00000000" w:csb0="00040000" w:csb1="00000000"/>
  </w:font>
  <w:font w:name=".......">
    <w:altName w:val="Arial Unicode MS"/>
    <w:panose1 w:val="00000000000000000000"/>
    <w:charset w:val="86"/>
    <w:family w:val="swiss"/>
    <w:pitch w:val="default"/>
    <w:sig w:usb0="00000000" w:usb1="00000000" w:usb2="00000010" w:usb3="00000000" w:csb0="00040000" w:csb1="00000000"/>
    <w:embedRegular r:id="rId4" w:fontKey="{E5A0F8B5-0407-4C29-9821-7913E2B5773B}"/>
  </w:font>
  <w:font w:name="Calibri Light">
    <w:panose1 w:val="020F0302020204030204"/>
    <w:charset w:val="00"/>
    <w:family w:val="swiss"/>
    <w:pitch w:val="default"/>
    <w:sig w:usb0="A00002EF" w:usb1="4000207B" w:usb2="00000000" w:usb3="00000000" w:csb0="2000019F" w:csb1="00000000"/>
  </w:font>
  <w:font w:name="PMingLiU">
    <w:panose1 w:val="02020500000000000000"/>
    <w:charset w:val="88"/>
    <w:family w:val="roman"/>
    <w:pitch w:val="default"/>
    <w:sig w:usb0="A00002FF" w:usb1="28CFFCFA" w:usb2="00000016" w:usb3="00000000" w:csb0="00100001" w:csb1="00000000"/>
    <w:embedRegular r:id="rId5" w:fontKey="{FA79AEF8-F186-4E40-B876-CA34FEB21B24}"/>
  </w:font>
  <w:font w:name="微软雅黑">
    <w:panose1 w:val="020B0503020204020204"/>
    <w:charset w:val="86"/>
    <w:family w:val="swiss"/>
    <w:pitch w:val="default"/>
    <w:sig w:usb0="80000287" w:usb1="280F3C52" w:usb2="00000016" w:usb3="00000000" w:csb0="0004001F" w:csb1="00000000"/>
    <w:embedRegular r:id="rId6" w:fontKey="{8A092DEB-47CB-44E4-9C05-B4BE011A6488}"/>
  </w:font>
  <w:font w:name="Microsoft JhengHei">
    <w:panose1 w:val="020B0604030504040204"/>
    <w:charset w:val="88"/>
    <w:family w:val="swiss"/>
    <w:pitch w:val="default"/>
    <w:sig w:usb0="00000087" w:usb1="28AF4000" w:usb2="00000016" w:usb3="00000000" w:csb0="00100009" w:csb1="00000000"/>
    <w:embedRegular r:id="rId7" w:fontKey="{515D4C18-9DB9-483A-97DC-CA6519B0F774}"/>
  </w:font>
  <w:font w:name="Webdings">
    <w:panose1 w:val="05030102010509060703"/>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0000012" w:usb3="00000000" w:csb0="4002009F" w:csb1="DFD70000"/>
  </w:font>
  <w:font w:name=".....&amp;..">
    <w:altName w:val="Arial Unicode MS"/>
    <w:panose1 w:val="00000000000000000000"/>
    <w:charset w:val="86"/>
    <w:family w:val="swiss"/>
    <w:pitch w:val="default"/>
    <w:sig w:usb0="00000000" w:usb1="00000000" w:usb2="00000010" w:usb3="00000000" w:csb0="00040000" w:csb1="00000000"/>
  </w:font>
  <w:font w:name="......">
    <w:altName w:val="Arial Unicode MS"/>
    <w:panose1 w:val="00000000000000000000"/>
    <w:charset w:val="86"/>
    <w:family w:val="swiss"/>
    <w:pitch w:val="default"/>
    <w:sig w:usb0="00000000" w:usb1="00000000" w:usb2="00000010" w:usb3="00000000" w:csb0="00040000" w:csb1="00000000"/>
    <w:embedRegular r:id="rId8" w:fontKey="{5D5EC3C3-5C15-45C5-A4C9-B5501D1A7876}"/>
  </w:font>
  <w:font w:name="Arial">
    <w:panose1 w:val="020B0604020202020204"/>
    <w:charset w:val="00"/>
    <w:family w:val="auto"/>
    <w:pitch w:val="default"/>
    <w:sig w:usb0="E0002AFF" w:usb1="C0007843" w:usb2="00000009" w:usb3="00000000" w:csb0="400001FF" w:csb1="FFFF0000"/>
  </w:font>
  <w:font w:name="Arial Unicode MS">
    <w:panose1 w:val="020B0604020202020204"/>
    <w:charset w:val="86"/>
    <w:family w:val="auto"/>
    <w:pitch w:val="default"/>
    <w:sig w:usb0="FFFFFFFF" w:usb1="E9FFFFFF" w:usb2="0000003F" w:usb3="00000000" w:csb0="603F01FF" w:csb1="FFFF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51429612"/>
      <w:docPartObj>
        <w:docPartGallery w:val="AutoText"/>
      </w:docPartObj>
    </w:sdtPr>
    <w:sdtContent>
      <w:p>
        <w:pPr>
          <w:pStyle w:val="12"/>
          <w:jc w:val="center"/>
        </w:pPr>
        <w:r>
          <mc:AlternateContent>
            <mc:Choice Requires="wps">
              <w:drawing>
                <wp:anchor distT="0" distB="0" distL="114300" distR="114300" simplePos="0" relativeHeight="251658240" behindDoc="0" locked="0" layoutInCell="1" allowOverlap="1">
                  <wp:simplePos x="0" y="0"/>
                  <wp:positionH relativeFrom="column">
                    <wp:posOffset>2466975</wp:posOffset>
                  </wp:positionH>
                  <wp:positionV relativeFrom="paragraph">
                    <wp:posOffset>2540</wp:posOffset>
                  </wp:positionV>
                  <wp:extent cx="628650" cy="466725"/>
                  <wp:effectExtent l="0" t="0" r="0" b="0"/>
                  <wp:wrapSquare wrapText="bothSides"/>
                  <wp:docPr id="6" name="文本框 6"/>
                  <wp:cNvGraphicFramePr/>
                  <a:graphic xmlns:a="http://schemas.openxmlformats.org/drawingml/2006/main">
                    <a:graphicData uri="http://schemas.microsoft.com/office/word/2010/wordprocessingShape">
                      <wps:wsp>
                        <wps:cNvSpPr txBox="1"/>
                        <wps:spPr>
                          <a:xfrm>
                            <a:off x="0" y="0"/>
                            <a:ext cx="628650" cy="466725"/>
                          </a:xfrm>
                          <a:prstGeom prst="rect">
                            <a:avLst/>
                          </a:prstGeom>
                          <a:noFill/>
                          <a:ln w="6350">
                            <a:noFill/>
                          </a:ln>
                          <a:effectLst/>
                        </wps:spPr>
                        <wps:txbx>
                          <w:txbxContent>
                            <w:sdt>
                              <w:sdtPr>
                                <w:rPr>
                                  <w:color w:val="000000" w:themeColor="text1"/>
                                  <w:sz w:val="30"/>
                                  <w:szCs w:val="30"/>
                                  <w14:textFill>
                                    <w14:solidFill>
                                      <w14:schemeClr w14:val="tx1"/>
                                    </w14:solidFill>
                                  </w14:textFill>
                                </w:rPr>
                                <w:id w:val="-1047069759"/>
                                <w:docPartObj>
                                  <w:docPartGallery w:val="AutoText"/>
                                </w:docPartObj>
                              </w:sdtPr>
                              <w:sdtEndPr>
                                <w:rPr>
                                  <w:rFonts w:eastAsia="Microsoft JhengHei" w:cstheme="minorHAnsi"/>
                                  <w:color w:val="000000" w:themeColor="text1"/>
                                  <w:sz w:val="21"/>
                                  <w:szCs w:val="21"/>
                                  <w14:textFill>
                                    <w14:solidFill>
                                      <w14:schemeClr w14:val="tx1"/>
                                    </w14:solidFill>
                                  </w14:textFill>
                                </w:rPr>
                              </w:sdtEndPr>
                              <w:sdtContent>
                                <w:p>
                                  <w:pPr>
                                    <w:pStyle w:val="12"/>
                                    <w:rPr>
                                      <w:rFonts w:eastAsia="Microsoft JhengHei" w:cstheme="minorHAnsi"/>
                                      <w:color w:val="000000" w:themeColor="text1"/>
                                      <w:sz w:val="21"/>
                                      <w:szCs w:val="21"/>
                                      <w14:textFill>
                                        <w14:solidFill>
                                          <w14:schemeClr w14:val="tx1"/>
                                        </w14:solidFill>
                                      </w14:textFill>
                                    </w:rPr>
                                  </w:pPr>
                                  <w:r>
                                    <w:rPr>
                                      <w:rFonts w:eastAsia="Microsoft JhengHei" w:cstheme="minorHAnsi"/>
                                      <w:color w:val="000000" w:themeColor="text1"/>
                                      <w:sz w:val="21"/>
                                      <w:szCs w:val="21"/>
                                      <w14:textFill>
                                        <w14:solidFill>
                                          <w14:schemeClr w14:val="tx1"/>
                                        </w14:solidFill>
                                      </w14:textFill>
                                    </w:rPr>
                                    <w:fldChar w:fldCharType="begin"/>
                                  </w:r>
                                  <w:r>
                                    <w:rPr>
                                      <w:rFonts w:eastAsia="Microsoft JhengHei" w:cstheme="minorHAnsi"/>
                                      <w:color w:val="000000" w:themeColor="text1"/>
                                      <w:sz w:val="21"/>
                                      <w:szCs w:val="21"/>
                                      <w14:textFill>
                                        <w14:solidFill>
                                          <w14:schemeClr w14:val="tx1"/>
                                        </w14:solidFill>
                                      </w14:textFill>
                                    </w:rPr>
                                    <w:instrText xml:space="preserve">PAGE   \* MERGEFORMAT</w:instrText>
                                  </w:r>
                                  <w:r>
                                    <w:rPr>
                                      <w:rFonts w:eastAsia="Microsoft JhengHei" w:cstheme="minorHAnsi"/>
                                      <w:color w:val="000000" w:themeColor="text1"/>
                                      <w:sz w:val="21"/>
                                      <w:szCs w:val="21"/>
                                      <w14:textFill>
                                        <w14:solidFill>
                                          <w14:schemeClr w14:val="tx1"/>
                                        </w14:solidFill>
                                      </w14:textFill>
                                    </w:rPr>
                                    <w:fldChar w:fldCharType="separate"/>
                                  </w:r>
                                  <w:r>
                                    <w:rPr>
                                      <w:rFonts w:eastAsia="Microsoft JhengHei" w:cstheme="minorHAnsi"/>
                                      <w:color w:val="000000" w:themeColor="text1"/>
                                      <w:sz w:val="21"/>
                                      <w:szCs w:val="21"/>
                                      <w:lang w:val="zh-CN"/>
                                      <w14:textFill>
                                        <w14:solidFill>
                                          <w14:schemeClr w14:val="tx1"/>
                                        </w14:solidFill>
                                      </w14:textFill>
                                    </w:rPr>
                                    <w:t>38</w:t>
                                  </w:r>
                                  <w:r>
                                    <w:rPr>
                                      <w:rFonts w:eastAsia="Microsoft JhengHei" w:cstheme="minorHAnsi"/>
                                      <w:color w:val="000000" w:themeColor="text1"/>
                                      <w:sz w:val="21"/>
                                      <w:szCs w:val="21"/>
                                      <w14:textFill>
                                        <w14:solidFill>
                                          <w14:schemeClr w14:val="tx1"/>
                                        </w14:solidFill>
                                      </w14:textFill>
                                    </w:rPr>
                                    <w:fldChar w:fldCharType="end"/>
                                  </w:r>
                                </w:p>
                              </w:sdtContent>
                            </w:sdt>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94.25pt;margin-top:0.2pt;height:36.75pt;width:49.5pt;mso-wrap-distance-bottom:0pt;mso-wrap-distance-left:9pt;mso-wrap-distance-right:9pt;mso-wrap-distance-top:0pt;z-index:251658240;v-text-anchor:middle;mso-width-relative:page;mso-height-relative:page;" filled="f" stroked="f" coordsize="21600,21600" o:gfxdata="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hclO0&#10;1wAAAAcBAAAPAAAAAAAAAAEAIAAAACIAAABkcnMvZG93bnJldi54bWxQSwECFAAUAAAACACHTuJA&#10;3HdSySICAAAnBAAADgAAAAAAAAABACAAAAAmAQAAZHJzL2Uyb0RvYy54bWxQSwUGAAAAAAYABgBZ&#10;AQAAugUAAAAA&#10;">
                  <v:fill on="f" focussize="0,0"/>
                  <v:stroke on="f" weight="0.5pt"/>
                  <v:imagedata o:title=""/>
                  <o:lock v:ext="edit" aspectratio="f"/>
                  <v:textbox>
                    <w:txbxContent>
                      <w:sdt>
                        <w:sdtPr>
                          <w:rPr>
                            <w:color w:val="000000" w:themeColor="text1"/>
                            <w:sz w:val="30"/>
                            <w:szCs w:val="30"/>
                            <w14:textFill>
                              <w14:solidFill>
                                <w14:schemeClr w14:val="tx1"/>
                              </w14:solidFill>
                            </w14:textFill>
                          </w:rPr>
                          <w:id w:val="-1047069759"/>
                          <w:docPartObj>
                            <w:docPartGallery w:val="AutoText"/>
                          </w:docPartObj>
                        </w:sdtPr>
                        <w:sdtEndPr>
                          <w:rPr>
                            <w:rFonts w:eastAsia="Microsoft JhengHei" w:cstheme="minorHAnsi"/>
                            <w:color w:val="000000" w:themeColor="text1"/>
                            <w:sz w:val="21"/>
                            <w:szCs w:val="21"/>
                            <w14:textFill>
                              <w14:solidFill>
                                <w14:schemeClr w14:val="tx1"/>
                              </w14:solidFill>
                            </w14:textFill>
                          </w:rPr>
                        </w:sdtEndPr>
                        <w:sdtContent>
                          <w:p>
                            <w:pPr>
                              <w:pStyle w:val="12"/>
                              <w:rPr>
                                <w:rFonts w:eastAsia="Microsoft JhengHei" w:cstheme="minorHAnsi"/>
                                <w:color w:val="000000" w:themeColor="text1"/>
                                <w:sz w:val="21"/>
                                <w:szCs w:val="21"/>
                                <w14:textFill>
                                  <w14:solidFill>
                                    <w14:schemeClr w14:val="tx1"/>
                                  </w14:solidFill>
                                </w14:textFill>
                              </w:rPr>
                            </w:pPr>
                            <w:r>
                              <w:rPr>
                                <w:rFonts w:eastAsia="Microsoft JhengHei" w:cstheme="minorHAnsi"/>
                                <w:color w:val="000000" w:themeColor="text1"/>
                                <w:sz w:val="21"/>
                                <w:szCs w:val="21"/>
                                <w14:textFill>
                                  <w14:solidFill>
                                    <w14:schemeClr w14:val="tx1"/>
                                  </w14:solidFill>
                                </w14:textFill>
                              </w:rPr>
                              <w:fldChar w:fldCharType="begin"/>
                            </w:r>
                            <w:r>
                              <w:rPr>
                                <w:rFonts w:eastAsia="Microsoft JhengHei" w:cstheme="minorHAnsi"/>
                                <w:color w:val="000000" w:themeColor="text1"/>
                                <w:sz w:val="21"/>
                                <w:szCs w:val="21"/>
                                <w14:textFill>
                                  <w14:solidFill>
                                    <w14:schemeClr w14:val="tx1"/>
                                  </w14:solidFill>
                                </w14:textFill>
                              </w:rPr>
                              <w:instrText xml:space="preserve">PAGE   \* MERGEFORMAT</w:instrText>
                            </w:r>
                            <w:r>
                              <w:rPr>
                                <w:rFonts w:eastAsia="Microsoft JhengHei" w:cstheme="minorHAnsi"/>
                                <w:color w:val="000000" w:themeColor="text1"/>
                                <w:sz w:val="21"/>
                                <w:szCs w:val="21"/>
                                <w14:textFill>
                                  <w14:solidFill>
                                    <w14:schemeClr w14:val="tx1"/>
                                  </w14:solidFill>
                                </w14:textFill>
                              </w:rPr>
                              <w:fldChar w:fldCharType="separate"/>
                            </w:r>
                            <w:r>
                              <w:rPr>
                                <w:rFonts w:eastAsia="Microsoft JhengHei" w:cstheme="minorHAnsi"/>
                                <w:color w:val="000000" w:themeColor="text1"/>
                                <w:sz w:val="21"/>
                                <w:szCs w:val="21"/>
                                <w:lang w:val="zh-CN"/>
                                <w14:textFill>
                                  <w14:solidFill>
                                    <w14:schemeClr w14:val="tx1"/>
                                  </w14:solidFill>
                                </w14:textFill>
                              </w:rPr>
                              <w:t>38</w:t>
                            </w:r>
                            <w:r>
                              <w:rPr>
                                <w:rFonts w:eastAsia="Microsoft JhengHei" w:cstheme="minorHAnsi"/>
                                <w:color w:val="000000" w:themeColor="text1"/>
                                <w:sz w:val="21"/>
                                <w:szCs w:val="21"/>
                                <w14:textFill>
                                  <w14:solidFill>
                                    <w14:schemeClr w14:val="tx1"/>
                                  </w14:solidFill>
                                </w14:textFill>
                              </w:rPr>
                              <w:fldChar w:fldCharType="end"/>
                            </w:r>
                          </w:p>
                        </w:sdtContent>
                      </w:sdt>
                    </w:txbxContent>
                  </v:textbox>
                  <w10:wrap type="square"/>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7216" behindDoc="0" locked="0" layoutInCell="1" allowOverlap="1">
              <wp:simplePos x="0" y="0"/>
              <wp:positionH relativeFrom="column">
                <wp:posOffset>-85725</wp:posOffset>
              </wp:positionH>
              <wp:positionV relativeFrom="paragraph">
                <wp:posOffset>288290</wp:posOffset>
              </wp:positionV>
              <wp:extent cx="333375" cy="342900"/>
              <wp:effectExtent l="0" t="0" r="0" b="0"/>
              <wp:wrapSquare wrapText="bothSides"/>
              <wp:docPr id="1" name="文本框 1"/>
              <wp:cNvGraphicFramePr/>
              <a:graphic xmlns:a="http://schemas.openxmlformats.org/drawingml/2006/main">
                <a:graphicData uri="http://schemas.microsoft.com/office/word/2010/wordprocessingShape">
                  <wps:wsp>
                    <wps:cNvSpPr txBox="1"/>
                    <wps:spPr>
                      <a:xfrm>
                        <a:off x="0" y="0"/>
                        <a:ext cx="333375" cy="342900"/>
                      </a:xfrm>
                      <a:prstGeom prst="rect">
                        <a:avLst/>
                      </a:prstGeom>
                      <a:noFill/>
                      <a:ln w="6350">
                        <a:noFill/>
                      </a:ln>
                      <a:effectLst/>
                    </wps:spPr>
                    <wps:txbx>
                      <w:txbxContent>
                        <w:sdt>
                          <w:sdtPr>
                            <w:rPr>
                              <w:color w:val="000000" w:themeColor="text1"/>
                              <w:sz w:val="20"/>
                              <w14:textFill>
                                <w14:solidFill>
                                  <w14:schemeClr w14:val="tx1"/>
                                </w14:solidFill>
                              </w14:textFill>
                            </w:rPr>
                            <w:id w:val="340048764"/>
                            <w:docPartObj>
                              <w:docPartGallery w:val="AutoText"/>
                            </w:docPartObj>
                          </w:sdtPr>
                          <w:sdtEndPr>
                            <w:rPr>
                              <w:rFonts w:ascii="PMingLiU" w:hAnsi="PMingLiU" w:eastAsia="PMingLiU"/>
                              <w:b/>
                              <w:color w:val="000000" w:themeColor="text1"/>
                              <w:sz w:val="28"/>
                              <w:szCs w:val="24"/>
                              <w14:textFill>
                                <w14:solidFill>
                                  <w14:schemeClr w14:val="tx1"/>
                                </w14:solidFill>
                              </w14:textFill>
                            </w:rPr>
                          </w:sdtEndPr>
                          <w:sdtContent>
                            <w:p>
                              <w:pPr>
                                <w:pStyle w:val="12"/>
                                <w:rPr>
                                  <w:rFonts w:ascii="PMingLiU" w:hAnsi="PMingLiU" w:eastAsia="PMingLiU"/>
                                  <w:b/>
                                  <w:color w:val="000000" w:themeColor="text1"/>
                                  <w:sz w:val="28"/>
                                  <w:szCs w:val="24"/>
                                  <w14:textFill>
                                    <w14:solidFill>
                                      <w14:schemeClr w14:val="tx1"/>
                                    </w14:solidFill>
                                  </w14:textFill>
                                </w:rPr>
                              </w:pPr>
                              <w:r>
                                <w:rPr>
                                  <w:rFonts w:ascii="PMingLiU" w:hAnsi="PMingLiU" w:eastAsia="PMingLiU"/>
                                  <w:b/>
                                  <w:color w:val="000000" w:themeColor="text1"/>
                                  <w:sz w:val="28"/>
                                  <w:szCs w:val="24"/>
                                  <w14:textFill>
                                    <w14:solidFill>
                                      <w14:schemeClr w14:val="tx1"/>
                                    </w14:solidFill>
                                  </w14:textFill>
                                </w:rPr>
                                <w:fldChar w:fldCharType="begin"/>
                              </w:r>
                              <w:r>
                                <w:rPr>
                                  <w:rFonts w:ascii="PMingLiU" w:hAnsi="PMingLiU" w:eastAsia="PMingLiU"/>
                                  <w:b/>
                                  <w:color w:val="000000" w:themeColor="text1"/>
                                  <w:sz w:val="28"/>
                                  <w:szCs w:val="24"/>
                                  <w14:textFill>
                                    <w14:solidFill>
                                      <w14:schemeClr w14:val="tx1"/>
                                    </w14:solidFill>
                                  </w14:textFill>
                                </w:rPr>
                                <w:instrText xml:space="preserve">PAGE   \* MERGEFORMAT</w:instrText>
                              </w:r>
                              <w:r>
                                <w:rPr>
                                  <w:rFonts w:ascii="PMingLiU" w:hAnsi="PMingLiU" w:eastAsia="PMingLiU"/>
                                  <w:b/>
                                  <w:color w:val="000000" w:themeColor="text1"/>
                                  <w:sz w:val="28"/>
                                  <w:szCs w:val="24"/>
                                  <w14:textFill>
                                    <w14:solidFill>
                                      <w14:schemeClr w14:val="tx1"/>
                                    </w14:solidFill>
                                  </w14:textFill>
                                </w:rPr>
                                <w:fldChar w:fldCharType="separate"/>
                              </w:r>
                              <w:r>
                                <w:rPr>
                                  <w:rFonts w:ascii="PMingLiU" w:hAnsi="PMingLiU" w:eastAsia="PMingLiU"/>
                                  <w:b/>
                                  <w:color w:val="000000" w:themeColor="text1"/>
                                  <w:sz w:val="28"/>
                                  <w:szCs w:val="24"/>
                                  <w:lang w:val="zh-CN"/>
                                  <w14:textFill>
                                    <w14:solidFill>
                                      <w14:schemeClr w14:val="tx1"/>
                                    </w14:solidFill>
                                  </w14:textFill>
                                </w:rPr>
                                <w:t>50</w:t>
                              </w:r>
                              <w:r>
                                <w:rPr>
                                  <w:rFonts w:ascii="PMingLiU" w:hAnsi="PMingLiU" w:eastAsia="PMingLiU"/>
                                  <w:b/>
                                  <w:color w:val="000000" w:themeColor="text1"/>
                                  <w:sz w:val="28"/>
                                  <w:szCs w:val="24"/>
                                  <w14:textFill>
                                    <w14:solidFill>
                                      <w14:schemeClr w14:val="tx1"/>
                                    </w14:solidFill>
                                  </w14:textFill>
                                </w:rPr>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pt;margin-top:22.7pt;height:27pt;width:26.25pt;mso-wrap-distance-bottom:0pt;mso-wrap-distance-left:9pt;mso-wrap-distance-right:9pt;mso-wrap-distance-top:0pt;z-index:251657216;mso-width-relative:page;mso-height-relative:page;" filled="f" stroked="f" coordsize="21600,21600" o:gfxdata="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5pwK2gAAAAgBAAAPAAAAAAAAAAEAIAAAACIAAABkcnMvZG93bnJldi54bWxQSwECFAAUAAAACACH&#10;TuJA1X1X7iICAAAlBAAADgAAAAAAAAABACAAAAApAQAAZHJzL2Uyb0RvYy54bWxQSwUGAAAAAAYA&#10;BgBZAQAAvQUAAAAA&#10;">
              <v:fill on="f" focussize="0,0"/>
              <v:stroke on="f" weight="0.5pt"/>
              <v:imagedata o:title=""/>
              <o:lock v:ext="edit" aspectratio="f"/>
              <v:textbox>
                <w:txbxContent>
                  <w:sdt>
                    <w:sdtPr>
                      <w:rPr>
                        <w:color w:val="000000" w:themeColor="text1"/>
                        <w:sz w:val="20"/>
                        <w14:textFill>
                          <w14:solidFill>
                            <w14:schemeClr w14:val="tx1"/>
                          </w14:solidFill>
                        </w14:textFill>
                      </w:rPr>
                      <w:id w:val="340048764"/>
                      <w:docPartObj>
                        <w:docPartGallery w:val="AutoText"/>
                      </w:docPartObj>
                    </w:sdtPr>
                    <w:sdtEndPr>
                      <w:rPr>
                        <w:rFonts w:ascii="PMingLiU" w:hAnsi="PMingLiU" w:eastAsia="PMingLiU"/>
                        <w:b/>
                        <w:color w:val="000000" w:themeColor="text1"/>
                        <w:sz w:val="28"/>
                        <w:szCs w:val="24"/>
                        <w14:textFill>
                          <w14:solidFill>
                            <w14:schemeClr w14:val="tx1"/>
                          </w14:solidFill>
                        </w14:textFill>
                      </w:rPr>
                    </w:sdtEndPr>
                    <w:sdtContent>
                      <w:p>
                        <w:pPr>
                          <w:pStyle w:val="12"/>
                          <w:rPr>
                            <w:rFonts w:ascii="PMingLiU" w:hAnsi="PMingLiU" w:eastAsia="PMingLiU"/>
                            <w:b/>
                            <w:color w:val="000000" w:themeColor="text1"/>
                            <w:sz w:val="28"/>
                            <w:szCs w:val="24"/>
                            <w14:textFill>
                              <w14:solidFill>
                                <w14:schemeClr w14:val="tx1"/>
                              </w14:solidFill>
                            </w14:textFill>
                          </w:rPr>
                        </w:pPr>
                        <w:r>
                          <w:rPr>
                            <w:rFonts w:ascii="PMingLiU" w:hAnsi="PMingLiU" w:eastAsia="PMingLiU"/>
                            <w:b/>
                            <w:color w:val="000000" w:themeColor="text1"/>
                            <w:sz w:val="28"/>
                            <w:szCs w:val="24"/>
                            <w14:textFill>
                              <w14:solidFill>
                                <w14:schemeClr w14:val="tx1"/>
                              </w14:solidFill>
                            </w14:textFill>
                          </w:rPr>
                          <w:fldChar w:fldCharType="begin"/>
                        </w:r>
                        <w:r>
                          <w:rPr>
                            <w:rFonts w:ascii="PMingLiU" w:hAnsi="PMingLiU" w:eastAsia="PMingLiU"/>
                            <w:b/>
                            <w:color w:val="000000" w:themeColor="text1"/>
                            <w:sz w:val="28"/>
                            <w:szCs w:val="24"/>
                            <w14:textFill>
                              <w14:solidFill>
                                <w14:schemeClr w14:val="tx1"/>
                              </w14:solidFill>
                            </w14:textFill>
                          </w:rPr>
                          <w:instrText xml:space="preserve">PAGE   \* MERGEFORMAT</w:instrText>
                        </w:r>
                        <w:r>
                          <w:rPr>
                            <w:rFonts w:ascii="PMingLiU" w:hAnsi="PMingLiU" w:eastAsia="PMingLiU"/>
                            <w:b/>
                            <w:color w:val="000000" w:themeColor="text1"/>
                            <w:sz w:val="28"/>
                            <w:szCs w:val="24"/>
                            <w14:textFill>
                              <w14:solidFill>
                                <w14:schemeClr w14:val="tx1"/>
                              </w14:solidFill>
                            </w14:textFill>
                          </w:rPr>
                          <w:fldChar w:fldCharType="separate"/>
                        </w:r>
                        <w:r>
                          <w:rPr>
                            <w:rFonts w:ascii="PMingLiU" w:hAnsi="PMingLiU" w:eastAsia="PMingLiU"/>
                            <w:b/>
                            <w:color w:val="000000" w:themeColor="text1"/>
                            <w:sz w:val="28"/>
                            <w:szCs w:val="24"/>
                            <w:lang w:val="zh-CN"/>
                            <w14:textFill>
                              <w14:solidFill>
                                <w14:schemeClr w14:val="tx1"/>
                              </w14:solidFill>
                            </w14:textFill>
                          </w:rPr>
                          <w:t>50</w:t>
                        </w:r>
                        <w:r>
                          <w:rPr>
                            <w:rFonts w:ascii="PMingLiU" w:hAnsi="PMingLiU" w:eastAsia="PMingLiU"/>
                            <w:b/>
                            <w:color w:val="000000" w:themeColor="text1"/>
                            <w:sz w:val="28"/>
                            <w:szCs w:val="24"/>
                            <w14:textFill>
                              <w14:solidFill>
                                <w14:schemeClr w14:val="tx1"/>
                              </w14:solidFill>
                            </w14:textFill>
                          </w:rPr>
                          <w:fldChar w:fldCharType="end"/>
                        </w:r>
                      </w:p>
                    </w:sdtContent>
                  </w:sdt>
                </w:txbxContent>
              </v:textbox>
              <w10:wrap type="squar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579595"/>
      <w:docPartObj>
        <w:docPartGallery w:val="AutoText"/>
      </w:docPartObj>
    </w:sdtPr>
    <w:sdtEndPr>
      <w:rPr>
        <w:sz w:val="21"/>
        <w:szCs w:val="21"/>
      </w:rPr>
    </w:sdtEndPr>
    <w:sdtContent>
      <w:p>
        <w:pPr>
          <w:pStyle w:val="12"/>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PictureWatermark29119272" o:spid="_x0000_s2067" o:spt="75" type="#_x0000_t75" style="position:absolute;left:0pt;height:841.9pt;width:595.2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o:title="1223内页大文件"/>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D3695"/>
    <w:multiLevelType w:val="multilevel"/>
    <w:tmpl w:val="061D3695"/>
    <w:lvl w:ilvl="0" w:tentative="0">
      <w:start w:val="1"/>
      <w:numFmt w:val="bullet"/>
      <w:lvlText w:val=""/>
      <w:lvlJc w:val="left"/>
      <w:pPr>
        <w:ind w:left="420" w:hanging="420"/>
      </w:pPr>
      <w:rPr>
        <w:rFonts w:hint="default" w:ascii="Webdings" w:hAnsi="Webdings"/>
        <w:color w:val="595959" w:themeColor="text1" w:themeTint="A6"/>
        <w14:textFill>
          <w14:solidFill>
            <w14:schemeClr w14:val="tx1">
              <w14:lumMod w14:val="65000"/>
              <w14:lumOff w14:val="35000"/>
            </w14:schemeClr>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EA868F7"/>
    <w:multiLevelType w:val="multilevel"/>
    <w:tmpl w:val="0EA868F7"/>
    <w:lvl w:ilvl="0" w:tentative="0">
      <w:start w:val="1"/>
      <w:numFmt w:val="bullet"/>
      <w:lvlText w:val=""/>
      <w:lvlJc w:val="left"/>
      <w:pPr>
        <w:ind w:left="420" w:hanging="420"/>
      </w:pPr>
      <w:rPr>
        <w:rFonts w:hint="default" w:ascii="Webdings" w:hAnsi="Webdings"/>
        <w:color w:val="595959" w:themeColor="text1" w:themeTint="A6"/>
        <w14:textFill>
          <w14:solidFill>
            <w14:schemeClr w14:val="tx1">
              <w14:lumMod w14:val="65000"/>
              <w14:lumOff w14:val="35000"/>
            </w14:schemeClr>
          </w14:solidFill>
        </w14:textFill>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31D6A6E"/>
    <w:multiLevelType w:val="multilevel"/>
    <w:tmpl w:val="131D6A6E"/>
    <w:lvl w:ilvl="0" w:tentative="0">
      <w:start w:val="1"/>
      <w:numFmt w:val="bullet"/>
      <w:lvlText w:val=""/>
      <w:lvlJc w:val="left"/>
      <w:pPr>
        <w:ind w:left="420" w:hanging="420"/>
      </w:pPr>
      <w:rPr>
        <w:rFonts w:hint="default" w:ascii="Webdings" w:hAnsi="Webdings"/>
        <w:color w:val="595959" w:themeColor="text1" w:themeTint="A6"/>
        <w14:textFill>
          <w14:solidFill>
            <w14:schemeClr w14:val="tx1">
              <w14:lumMod w14:val="65000"/>
              <w14:lumOff w14:val="35000"/>
            </w14:schemeClr>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16C708CA"/>
    <w:multiLevelType w:val="multilevel"/>
    <w:tmpl w:val="16C708CA"/>
    <w:lvl w:ilvl="0" w:tentative="0">
      <w:start w:val="1"/>
      <w:numFmt w:val="bullet"/>
      <w:lvlText w:val=""/>
      <w:lvlJc w:val="left"/>
      <w:pPr>
        <w:ind w:left="420" w:hanging="420"/>
      </w:pPr>
      <w:rPr>
        <w:rFonts w:hint="default" w:ascii="Webdings" w:hAnsi="Webdings"/>
        <w:color w:val="595959" w:themeColor="text1" w:themeTint="A6"/>
        <w14:textFill>
          <w14:solidFill>
            <w14:schemeClr w14:val="tx1">
              <w14:lumMod w14:val="65000"/>
              <w14:lumOff w14:val="35000"/>
            </w14:schemeClr>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AC952EE"/>
    <w:multiLevelType w:val="multilevel"/>
    <w:tmpl w:val="1AC952EE"/>
    <w:lvl w:ilvl="0" w:tentative="0">
      <w:start w:val="1"/>
      <w:numFmt w:val="bullet"/>
      <w:lvlText w:val=""/>
      <w:lvlJc w:val="left"/>
      <w:pPr>
        <w:ind w:left="420" w:hanging="420"/>
      </w:pPr>
      <w:rPr>
        <w:rFonts w:hint="default" w:ascii="Webdings" w:hAnsi="Webdings"/>
        <w:color w:val="595959" w:themeColor="text1" w:themeTint="A6"/>
        <w14:textFill>
          <w14:solidFill>
            <w14:schemeClr w14:val="tx1">
              <w14:lumMod w14:val="65000"/>
              <w14:lumOff w14:val="35000"/>
            </w14:schemeClr>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1D53268A"/>
    <w:multiLevelType w:val="multilevel"/>
    <w:tmpl w:val="1D53268A"/>
    <w:lvl w:ilvl="0" w:tentative="0">
      <w:start w:val="1"/>
      <w:numFmt w:val="bullet"/>
      <w:lvlText w:val=""/>
      <w:lvlJc w:val="left"/>
      <w:pPr>
        <w:ind w:left="420" w:hanging="420"/>
      </w:pPr>
      <w:rPr>
        <w:rFonts w:hint="default" w:ascii="Webdings" w:hAnsi="Webdings"/>
        <w:color w:val="595959" w:themeColor="text1" w:themeTint="A6"/>
        <w14:textFill>
          <w14:solidFill>
            <w14:schemeClr w14:val="tx1">
              <w14:lumMod w14:val="65000"/>
              <w14:lumOff w14:val="35000"/>
            </w14:schemeClr>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1DD6645F"/>
    <w:multiLevelType w:val="multilevel"/>
    <w:tmpl w:val="1DD6645F"/>
    <w:lvl w:ilvl="0" w:tentative="0">
      <w:start w:val="1"/>
      <w:numFmt w:val="bullet"/>
      <w:lvlText w:val=""/>
      <w:lvlJc w:val="left"/>
      <w:pPr>
        <w:ind w:left="420" w:hanging="420"/>
      </w:pPr>
      <w:rPr>
        <w:rFonts w:hint="default" w:ascii="Webdings" w:hAnsi="Webdings"/>
        <w:color w:val="595959" w:themeColor="text1" w:themeTint="A6"/>
        <w14:textFill>
          <w14:solidFill>
            <w14:schemeClr w14:val="tx1">
              <w14:lumMod w14:val="65000"/>
              <w14:lumOff w14:val="35000"/>
            </w14:schemeClr>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E0E44D5"/>
    <w:multiLevelType w:val="multilevel"/>
    <w:tmpl w:val="1E0E44D5"/>
    <w:lvl w:ilvl="0" w:tentative="0">
      <w:start w:val="1"/>
      <w:numFmt w:val="bullet"/>
      <w:lvlText w:val=""/>
      <w:lvlJc w:val="left"/>
      <w:pPr>
        <w:ind w:left="420" w:hanging="420"/>
      </w:pPr>
      <w:rPr>
        <w:rFonts w:hint="default" w:ascii="Wingdings" w:hAnsi="Wingdings"/>
        <w:color w:val="000000" w:themeColor="text1"/>
        <w:sz w:val="22"/>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1EAD054F"/>
    <w:multiLevelType w:val="multilevel"/>
    <w:tmpl w:val="1EAD054F"/>
    <w:lvl w:ilvl="0" w:tentative="0">
      <w:start w:val="1"/>
      <w:numFmt w:val="bullet"/>
      <w:lvlText w:val=""/>
      <w:lvlJc w:val="left"/>
      <w:pPr>
        <w:ind w:left="420" w:hanging="420"/>
      </w:pPr>
      <w:rPr>
        <w:rFonts w:hint="default" w:ascii="Webdings" w:hAnsi="Webdings"/>
        <w:color w:val="595959" w:themeColor="text1" w:themeTint="A6"/>
        <w14:textFill>
          <w14:solidFill>
            <w14:schemeClr w14:val="tx1">
              <w14:lumMod w14:val="65000"/>
              <w14:lumOff w14:val="35000"/>
            </w14:schemeClr>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2E006D36"/>
    <w:multiLevelType w:val="multilevel"/>
    <w:tmpl w:val="2E006D36"/>
    <w:lvl w:ilvl="0" w:tentative="0">
      <w:start w:val="1"/>
      <w:numFmt w:val="bullet"/>
      <w:lvlText w:val=""/>
      <w:lvlJc w:val="left"/>
      <w:pPr>
        <w:ind w:left="420" w:hanging="420"/>
      </w:pPr>
      <w:rPr>
        <w:rFonts w:hint="default" w:ascii="Webdings" w:hAnsi="Webdings"/>
        <w:color w:val="595959" w:themeColor="text1" w:themeTint="A6"/>
        <w14:textFill>
          <w14:solidFill>
            <w14:schemeClr w14:val="tx1">
              <w14:lumMod w14:val="65000"/>
              <w14:lumOff w14:val="35000"/>
            </w14:schemeClr>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39830715"/>
    <w:multiLevelType w:val="multilevel"/>
    <w:tmpl w:val="39830715"/>
    <w:lvl w:ilvl="0" w:tentative="0">
      <w:start w:val="1"/>
      <w:numFmt w:val="bullet"/>
      <w:lvlText w:val=""/>
      <w:lvlJc w:val="left"/>
      <w:pPr>
        <w:ind w:left="420" w:hanging="420"/>
      </w:pPr>
      <w:rPr>
        <w:rFonts w:hint="default" w:ascii="Webdings" w:hAnsi="Webdings"/>
        <w:color w:val="595959" w:themeColor="text1" w:themeTint="A6"/>
        <w14:textFill>
          <w14:solidFill>
            <w14:schemeClr w14:val="tx1">
              <w14:lumMod w14:val="65000"/>
              <w14:lumOff w14:val="35000"/>
            </w14:schemeClr>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3DBE74E8"/>
    <w:multiLevelType w:val="multilevel"/>
    <w:tmpl w:val="3DBE74E8"/>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1370C9E"/>
    <w:multiLevelType w:val="multilevel"/>
    <w:tmpl w:val="41370C9E"/>
    <w:lvl w:ilvl="0" w:tentative="0">
      <w:start w:val="1"/>
      <w:numFmt w:val="bullet"/>
      <w:lvlText w:val=""/>
      <w:lvlJc w:val="left"/>
      <w:pPr>
        <w:ind w:left="420" w:hanging="420"/>
      </w:pPr>
      <w:rPr>
        <w:rFonts w:hint="default" w:ascii="Webdings" w:hAnsi="Webdings"/>
        <w:color w:val="595959" w:themeColor="text1" w:themeTint="A6"/>
        <w14:textFill>
          <w14:solidFill>
            <w14:schemeClr w14:val="tx1">
              <w14:lumMod w14:val="65000"/>
              <w14:lumOff w14:val="35000"/>
            </w14:schemeClr>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4250287E"/>
    <w:multiLevelType w:val="multilevel"/>
    <w:tmpl w:val="4250287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420" w:hanging="420"/>
      </w:pPr>
      <w:rPr>
        <w:rFonts w:hint="default" w:ascii="Webdings" w:hAnsi="Webdings"/>
        <w:color w:val="595959" w:themeColor="text1" w:themeTint="A6"/>
        <w14:textFill>
          <w14:solidFill>
            <w14:schemeClr w14:val="tx1">
              <w14:lumMod w14:val="65000"/>
              <w14:lumOff w14:val="35000"/>
            </w14:schemeClr>
          </w14:solidFill>
        </w14:textFill>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4CE66BC5"/>
    <w:multiLevelType w:val="multilevel"/>
    <w:tmpl w:val="4CE66BC5"/>
    <w:lvl w:ilvl="0" w:tentative="0">
      <w:start w:val="1"/>
      <w:numFmt w:val="bullet"/>
      <w:lvlText w:val=""/>
      <w:lvlJc w:val="left"/>
      <w:pPr>
        <w:ind w:left="420" w:hanging="420"/>
      </w:pPr>
      <w:rPr>
        <w:rFonts w:hint="default" w:ascii="Webdings" w:hAnsi="Webdings"/>
        <w:color w:val="595959" w:themeColor="text1" w:themeTint="A6"/>
        <w14:textFill>
          <w14:solidFill>
            <w14:schemeClr w14:val="tx1">
              <w14:lumMod w14:val="65000"/>
              <w14:lumOff w14:val="35000"/>
            </w14:schemeClr>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50EA74FF"/>
    <w:multiLevelType w:val="multilevel"/>
    <w:tmpl w:val="50EA74FF"/>
    <w:lvl w:ilvl="0" w:tentative="0">
      <w:start w:val="1"/>
      <w:numFmt w:val="bullet"/>
      <w:lvlText w:val=""/>
      <w:lvlJc w:val="left"/>
      <w:pPr>
        <w:ind w:left="420" w:hanging="420"/>
      </w:pPr>
      <w:rPr>
        <w:rFonts w:hint="default" w:ascii="Wingdings" w:hAnsi="Wingdings"/>
        <w:color w:val="5B9BD5"/>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5D071327"/>
    <w:multiLevelType w:val="multilevel"/>
    <w:tmpl w:val="5D071327"/>
    <w:lvl w:ilvl="0" w:tentative="0">
      <w:start w:val="1"/>
      <w:numFmt w:val="bullet"/>
      <w:lvlText w:val=""/>
      <w:lvlJc w:val="left"/>
      <w:pPr>
        <w:ind w:left="420" w:hanging="420"/>
      </w:pPr>
      <w:rPr>
        <w:rFonts w:hint="default" w:ascii="Webdings" w:hAnsi="Webdings"/>
        <w:color w:val="595959" w:themeColor="text1" w:themeTint="A6"/>
        <w14:textFill>
          <w14:solidFill>
            <w14:schemeClr w14:val="tx1">
              <w14:lumMod w14:val="65000"/>
              <w14:lumOff w14:val="35000"/>
            </w14:schemeClr>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6490464D"/>
    <w:multiLevelType w:val="multilevel"/>
    <w:tmpl w:val="6490464D"/>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675A2E44"/>
    <w:multiLevelType w:val="multilevel"/>
    <w:tmpl w:val="675A2E44"/>
    <w:lvl w:ilvl="0" w:tentative="0">
      <w:start w:val="1"/>
      <w:numFmt w:val="bullet"/>
      <w:lvlText w:val=""/>
      <w:lvlJc w:val="left"/>
      <w:pPr>
        <w:ind w:left="420" w:hanging="420"/>
      </w:pPr>
      <w:rPr>
        <w:rFonts w:hint="default" w:ascii="Webdings" w:hAnsi="Webdings"/>
        <w:color w:val="595959" w:themeColor="text1" w:themeTint="A6"/>
        <w14:textFill>
          <w14:solidFill>
            <w14:schemeClr w14:val="tx1">
              <w14:lumMod w14:val="65000"/>
              <w14:lumOff w14:val="35000"/>
            </w14:schemeClr>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77387A61"/>
    <w:multiLevelType w:val="multilevel"/>
    <w:tmpl w:val="77387A61"/>
    <w:lvl w:ilvl="0" w:tentative="0">
      <w:start w:val="1"/>
      <w:numFmt w:val="bullet"/>
      <w:lvlText w:val=""/>
      <w:lvlJc w:val="left"/>
      <w:pPr>
        <w:ind w:left="420" w:hanging="420"/>
      </w:pPr>
      <w:rPr>
        <w:rFonts w:hint="default" w:ascii="Webdings" w:hAnsi="Webdings"/>
        <w:color w:val="595959" w:themeColor="text1" w:themeTint="A6"/>
        <w14:textFill>
          <w14:solidFill>
            <w14:schemeClr w14:val="tx1">
              <w14:lumMod w14:val="65000"/>
              <w14:lumOff w14:val="35000"/>
            </w14:schemeClr>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78C86878"/>
    <w:multiLevelType w:val="multilevel"/>
    <w:tmpl w:val="78C86878"/>
    <w:lvl w:ilvl="0" w:tentative="0">
      <w:start w:val="1"/>
      <w:numFmt w:val="decimal"/>
      <w:lvlText w:val="%1."/>
      <w:lvlJc w:val="left"/>
      <w:pPr>
        <w:ind w:left="420" w:hanging="420"/>
      </w:pPr>
      <w:rPr>
        <w:rFonts w:hint="default"/>
      </w:rPr>
    </w:lvl>
    <w:lvl w:ilvl="1" w:tentative="0">
      <w:start w:val="1"/>
      <w:numFmt w:val="decimal"/>
      <w:lvlText w:val="(%2)"/>
      <w:lvlJc w:val="left"/>
      <w:pPr>
        <w:ind w:left="855" w:hanging="43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7E7070D6"/>
    <w:multiLevelType w:val="multilevel"/>
    <w:tmpl w:val="7E7070D6"/>
    <w:lvl w:ilvl="0" w:tentative="0">
      <w:start w:val="1"/>
      <w:numFmt w:val="bullet"/>
      <w:lvlText w:val=""/>
      <w:lvlJc w:val="left"/>
      <w:pPr>
        <w:ind w:left="420" w:hanging="420"/>
      </w:pPr>
      <w:rPr>
        <w:rFonts w:hint="default" w:ascii="Webdings" w:hAnsi="Webdings"/>
        <w:color w:val="595959" w:themeColor="text1" w:themeTint="A6"/>
        <w14:textFill>
          <w14:solidFill>
            <w14:schemeClr w14:val="tx1">
              <w14:lumMod w14:val="65000"/>
              <w14:lumOff w14:val="35000"/>
            </w14:schemeClr>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7ED201CF"/>
    <w:multiLevelType w:val="multilevel"/>
    <w:tmpl w:val="7ED201CF"/>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0"/>
  </w:num>
  <w:num w:numId="2">
    <w:abstractNumId w:val="15"/>
  </w:num>
  <w:num w:numId="3">
    <w:abstractNumId w:val="8"/>
  </w:num>
  <w:num w:numId="4">
    <w:abstractNumId w:val="7"/>
  </w:num>
  <w:num w:numId="5">
    <w:abstractNumId w:val="19"/>
  </w:num>
  <w:num w:numId="6">
    <w:abstractNumId w:val="11"/>
  </w:num>
  <w:num w:numId="7">
    <w:abstractNumId w:val="21"/>
  </w:num>
  <w:num w:numId="8">
    <w:abstractNumId w:val="0"/>
  </w:num>
  <w:num w:numId="9">
    <w:abstractNumId w:val="9"/>
  </w:num>
  <w:num w:numId="10">
    <w:abstractNumId w:val="14"/>
  </w:num>
  <w:num w:numId="11">
    <w:abstractNumId w:val="2"/>
  </w:num>
  <w:num w:numId="12">
    <w:abstractNumId w:val="18"/>
  </w:num>
  <w:num w:numId="13">
    <w:abstractNumId w:val="16"/>
  </w:num>
  <w:num w:numId="14">
    <w:abstractNumId w:val="22"/>
  </w:num>
  <w:num w:numId="15">
    <w:abstractNumId w:val="10"/>
  </w:num>
  <w:num w:numId="16">
    <w:abstractNumId w:val="5"/>
  </w:num>
  <w:num w:numId="17">
    <w:abstractNumId w:val="13"/>
  </w:num>
  <w:num w:numId="18">
    <w:abstractNumId w:val="4"/>
  </w:num>
  <w:num w:numId="19">
    <w:abstractNumId w:val="1"/>
  </w:num>
  <w:num w:numId="20">
    <w:abstractNumId w:val="17"/>
  </w:num>
  <w:num w:numId="21">
    <w:abstractNumId w:val="3"/>
  </w:num>
  <w:num w:numId="22">
    <w:abstractNumId w:val="1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110"/>
    <w:rsid w:val="00001907"/>
    <w:rsid w:val="00002ED3"/>
    <w:rsid w:val="000031A1"/>
    <w:rsid w:val="0000765A"/>
    <w:rsid w:val="00010212"/>
    <w:rsid w:val="00012574"/>
    <w:rsid w:val="0001350E"/>
    <w:rsid w:val="00013812"/>
    <w:rsid w:val="00017BB1"/>
    <w:rsid w:val="00017D95"/>
    <w:rsid w:val="00017E4B"/>
    <w:rsid w:val="00021514"/>
    <w:rsid w:val="000219B7"/>
    <w:rsid w:val="00025A74"/>
    <w:rsid w:val="00027B41"/>
    <w:rsid w:val="000313E9"/>
    <w:rsid w:val="000363DF"/>
    <w:rsid w:val="0003649E"/>
    <w:rsid w:val="00036530"/>
    <w:rsid w:val="00036A69"/>
    <w:rsid w:val="00036D41"/>
    <w:rsid w:val="00037185"/>
    <w:rsid w:val="000410CD"/>
    <w:rsid w:val="00042463"/>
    <w:rsid w:val="0004397E"/>
    <w:rsid w:val="00044F1A"/>
    <w:rsid w:val="00045B14"/>
    <w:rsid w:val="00046A8E"/>
    <w:rsid w:val="000501D5"/>
    <w:rsid w:val="00050381"/>
    <w:rsid w:val="00053043"/>
    <w:rsid w:val="00053504"/>
    <w:rsid w:val="00053C06"/>
    <w:rsid w:val="000545A1"/>
    <w:rsid w:val="0005473A"/>
    <w:rsid w:val="00056BF4"/>
    <w:rsid w:val="00057077"/>
    <w:rsid w:val="00060F3C"/>
    <w:rsid w:val="00062BC5"/>
    <w:rsid w:val="00065437"/>
    <w:rsid w:val="00065A3C"/>
    <w:rsid w:val="0006798D"/>
    <w:rsid w:val="00070029"/>
    <w:rsid w:val="0007059E"/>
    <w:rsid w:val="00071D03"/>
    <w:rsid w:val="00073BF3"/>
    <w:rsid w:val="00075632"/>
    <w:rsid w:val="00076027"/>
    <w:rsid w:val="00076AA9"/>
    <w:rsid w:val="00080ADA"/>
    <w:rsid w:val="00082A81"/>
    <w:rsid w:val="0008353A"/>
    <w:rsid w:val="000854BE"/>
    <w:rsid w:val="0008579E"/>
    <w:rsid w:val="000902DF"/>
    <w:rsid w:val="000934D6"/>
    <w:rsid w:val="00093987"/>
    <w:rsid w:val="00094E4D"/>
    <w:rsid w:val="000960EC"/>
    <w:rsid w:val="00097640"/>
    <w:rsid w:val="00097EB7"/>
    <w:rsid w:val="000A0452"/>
    <w:rsid w:val="000A2F3F"/>
    <w:rsid w:val="000A4332"/>
    <w:rsid w:val="000A4864"/>
    <w:rsid w:val="000A5A9C"/>
    <w:rsid w:val="000A782B"/>
    <w:rsid w:val="000B1435"/>
    <w:rsid w:val="000B3584"/>
    <w:rsid w:val="000B3BA4"/>
    <w:rsid w:val="000B3E3F"/>
    <w:rsid w:val="000C1143"/>
    <w:rsid w:val="000C1234"/>
    <w:rsid w:val="000C1317"/>
    <w:rsid w:val="000C36E8"/>
    <w:rsid w:val="000C3BD1"/>
    <w:rsid w:val="000C428F"/>
    <w:rsid w:val="000C6990"/>
    <w:rsid w:val="000C7006"/>
    <w:rsid w:val="000D262D"/>
    <w:rsid w:val="000D530C"/>
    <w:rsid w:val="000D7320"/>
    <w:rsid w:val="000E445D"/>
    <w:rsid w:val="000E5966"/>
    <w:rsid w:val="000E5DC9"/>
    <w:rsid w:val="000E7726"/>
    <w:rsid w:val="000F19B0"/>
    <w:rsid w:val="000F279A"/>
    <w:rsid w:val="000F29BB"/>
    <w:rsid w:val="000F29C1"/>
    <w:rsid w:val="000F2BED"/>
    <w:rsid w:val="000F5D05"/>
    <w:rsid w:val="000F6010"/>
    <w:rsid w:val="000F6752"/>
    <w:rsid w:val="000F6E3F"/>
    <w:rsid w:val="000F73BA"/>
    <w:rsid w:val="001000ED"/>
    <w:rsid w:val="001002F4"/>
    <w:rsid w:val="001039AF"/>
    <w:rsid w:val="001101FA"/>
    <w:rsid w:val="001102E5"/>
    <w:rsid w:val="0011105B"/>
    <w:rsid w:val="00113C41"/>
    <w:rsid w:val="00114F28"/>
    <w:rsid w:val="00115917"/>
    <w:rsid w:val="00116A77"/>
    <w:rsid w:val="00116F47"/>
    <w:rsid w:val="001211B4"/>
    <w:rsid w:val="0012229F"/>
    <w:rsid w:val="00124D3D"/>
    <w:rsid w:val="001265EE"/>
    <w:rsid w:val="0012713C"/>
    <w:rsid w:val="00131863"/>
    <w:rsid w:val="001323FC"/>
    <w:rsid w:val="00134FEF"/>
    <w:rsid w:val="001366F9"/>
    <w:rsid w:val="001373D0"/>
    <w:rsid w:val="00137DAB"/>
    <w:rsid w:val="001416E4"/>
    <w:rsid w:val="00141D00"/>
    <w:rsid w:val="00142AE3"/>
    <w:rsid w:val="00144E61"/>
    <w:rsid w:val="001471A4"/>
    <w:rsid w:val="00151D91"/>
    <w:rsid w:val="00153E41"/>
    <w:rsid w:val="001552E5"/>
    <w:rsid w:val="001566E7"/>
    <w:rsid w:val="0015769F"/>
    <w:rsid w:val="001605E5"/>
    <w:rsid w:val="001615D7"/>
    <w:rsid w:val="00161A91"/>
    <w:rsid w:val="0016207F"/>
    <w:rsid w:val="0016567E"/>
    <w:rsid w:val="00165781"/>
    <w:rsid w:val="00165C52"/>
    <w:rsid w:val="001665A6"/>
    <w:rsid w:val="00167C24"/>
    <w:rsid w:val="00170BA7"/>
    <w:rsid w:val="001714CA"/>
    <w:rsid w:val="00171811"/>
    <w:rsid w:val="00171F5E"/>
    <w:rsid w:val="001746A2"/>
    <w:rsid w:val="00174C2A"/>
    <w:rsid w:val="0017590C"/>
    <w:rsid w:val="0017769F"/>
    <w:rsid w:val="001777F5"/>
    <w:rsid w:val="0018102C"/>
    <w:rsid w:val="00190D61"/>
    <w:rsid w:val="0019131F"/>
    <w:rsid w:val="00192104"/>
    <w:rsid w:val="00192C33"/>
    <w:rsid w:val="00194535"/>
    <w:rsid w:val="00196A88"/>
    <w:rsid w:val="001A07FD"/>
    <w:rsid w:val="001A12B1"/>
    <w:rsid w:val="001A31FE"/>
    <w:rsid w:val="001A3ADC"/>
    <w:rsid w:val="001A47ED"/>
    <w:rsid w:val="001A5D3A"/>
    <w:rsid w:val="001B1DB4"/>
    <w:rsid w:val="001B2BBC"/>
    <w:rsid w:val="001B463C"/>
    <w:rsid w:val="001B4E73"/>
    <w:rsid w:val="001B5387"/>
    <w:rsid w:val="001B5479"/>
    <w:rsid w:val="001B60BC"/>
    <w:rsid w:val="001B6A49"/>
    <w:rsid w:val="001B6DE7"/>
    <w:rsid w:val="001C0C4E"/>
    <w:rsid w:val="001C17FD"/>
    <w:rsid w:val="001C2370"/>
    <w:rsid w:val="001C7099"/>
    <w:rsid w:val="001D0041"/>
    <w:rsid w:val="001D2C2E"/>
    <w:rsid w:val="001D3418"/>
    <w:rsid w:val="001D3EEF"/>
    <w:rsid w:val="001D5189"/>
    <w:rsid w:val="001D580E"/>
    <w:rsid w:val="001E051C"/>
    <w:rsid w:val="001E1F49"/>
    <w:rsid w:val="001E2BD3"/>
    <w:rsid w:val="001E34F2"/>
    <w:rsid w:val="001E4546"/>
    <w:rsid w:val="001F0A1B"/>
    <w:rsid w:val="001F1F8F"/>
    <w:rsid w:val="001F46DC"/>
    <w:rsid w:val="001F4817"/>
    <w:rsid w:val="001F51C7"/>
    <w:rsid w:val="00200485"/>
    <w:rsid w:val="00201D0E"/>
    <w:rsid w:val="00201E99"/>
    <w:rsid w:val="00202C6D"/>
    <w:rsid w:val="00205E86"/>
    <w:rsid w:val="002107A2"/>
    <w:rsid w:val="00214D10"/>
    <w:rsid w:val="00215625"/>
    <w:rsid w:val="0021590A"/>
    <w:rsid w:val="00217B1C"/>
    <w:rsid w:val="00220631"/>
    <w:rsid w:val="00220879"/>
    <w:rsid w:val="00220B74"/>
    <w:rsid w:val="00223369"/>
    <w:rsid w:val="0022361D"/>
    <w:rsid w:val="00224FDB"/>
    <w:rsid w:val="00230267"/>
    <w:rsid w:val="00230FE2"/>
    <w:rsid w:val="002318BA"/>
    <w:rsid w:val="00232773"/>
    <w:rsid w:val="0023365B"/>
    <w:rsid w:val="00233724"/>
    <w:rsid w:val="00233824"/>
    <w:rsid w:val="00234548"/>
    <w:rsid w:val="00236559"/>
    <w:rsid w:val="00237E20"/>
    <w:rsid w:val="00240048"/>
    <w:rsid w:val="00240896"/>
    <w:rsid w:val="002429FA"/>
    <w:rsid w:val="002462C4"/>
    <w:rsid w:val="00246342"/>
    <w:rsid w:val="0024673D"/>
    <w:rsid w:val="00247C61"/>
    <w:rsid w:val="002503E5"/>
    <w:rsid w:val="002524A1"/>
    <w:rsid w:val="00252BBC"/>
    <w:rsid w:val="002539D5"/>
    <w:rsid w:val="00254242"/>
    <w:rsid w:val="00254A9A"/>
    <w:rsid w:val="00260A26"/>
    <w:rsid w:val="002610CF"/>
    <w:rsid w:val="002612C9"/>
    <w:rsid w:val="002616C6"/>
    <w:rsid w:val="00261E7B"/>
    <w:rsid w:val="00262B39"/>
    <w:rsid w:val="00263302"/>
    <w:rsid w:val="00264885"/>
    <w:rsid w:val="002658A9"/>
    <w:rsid w:val="0027184F"/>
    <w:rsid w:val="00272134"/>
    <w:rsid w:val="00273CA6"/>
    <w:rsid w:val="00274CBD"/>
    <w:rsid w:val="00274DA9"/>
    <w:rsid w:val="00275BB0"/>
    <w:rsid w:val="0028096C"/>
    <w:rsid w:val="002813CA"/>
    <w:rsid w:val="002824E6"/>
    <w:rsid w:val="00282C88"/>
    <w:rsid w:val="0028338A"/>
    <w:rsid w:val="00283C6D"/>
    <w:rsid w:val="002870E6"/>
    <w:rsid w:val="00287C91"/>
    <w:rsid w:val="00290E52"/>
    <w:rsid w:val="00292FA6"/>
    <w:rsid w:val="00293023"/>
    <w:rsid w:val="002948FC"/>
    <w:rsid w:val="00294C19"/>
    <w:rsid w:val="00296B3A"/>
    <w:rsid w:val="00297D9B"/>
    <w:rsid w:val="002A008A"/>
    <w:rsid w:val="002A2978"/>
    <w:rsid w:val="002A77C9"/>
    <w:rsid w:val="002B0463"/>
    <w:rsid w:val="002B18C9"/>
    <w:rsid w:val="002B1D4D"/>
    <w:rsid w:val="002B2117"/>
    <w:rsid w:val="002B31A4"/>
    <w:rsid w:val="002B33B5"/>
    <w:rsid w:val="002B5715"/>
    <w:rsid w:val="002B5B93"/>
    <w:rsid w:val="002B792B"/>
    <w:rsid w:val="002C1643"/>
    <w:rsid w:val="002C613D"/>
    <w:rsid w:val="002C7164"/>
    <w:rsid w:val="002D2FD0"/>
    <w:rsid w:val="002D45D4"/>
    <w:rsid w:val="002D47BD"/>
    <w:rsid w:val="002D52F8"/>
    <w:rsid w:val="002E3C47"/>
    <w:rsid w:val="002E419E"/>
    <w:rsid w:val="002E4DD0"/>
    <w:rsid w:val="002E7900"/>
    <w:rsid w:val="002F0E79"/>
    <w:rsid w:val="002F0F6D"/>
    <w:rsid w:val="002F215A"/>
    <w:rsid w:val="002F2285"/>
    <w:rsid w:val="002F2C2C"/>
    <w:rsid w:val="002F35D6"/>
    <w:rsid w:val="002F4F6A"/>
    <w:rsid w:val="002F555E"/>
    <w:rsid w:val="002F5FBE"/>
    <w:rsid w:val="00301CE8"/>
    <w:rsid w:val="00302C23"/>
    <w:rsid w:val="00305A39"/>
    <w:rsid w:val="003065E0"/>
    <w:rsid w:val="003079AE"/>
    <w:rsid w:val="003124B2"/>
    <w:rsid w:val="0031257E"/>
    <w:rsid w:val="0031314A"/>
    <w:rsid w:val="00313841"/>
    <w:rsid w:val="003141E6"/>
    <w:rsid w:val="00323B93"/>
    <w:rsid w:val="00326336"/>
    <w:rsid w:val="00326520"/>
    <w:rsid w:val="00327DC0"/>
    <w:rsid w:val="00331D38"/>
    <w:rsid w:val="0033259D"/>
    <w:rsid w:val="003327EC"/>
    <w:rsid w:val="003338A0"/>
    <w:rsid w:val="0033552F"/>
    <w:rsid w:val="003400BE"/>
    <w:rsid w:val="00345F9A"/>
    <w:rsid w:val="00346809"/>
    <w:rsid w:val="00346C14"/>
    <w:rsid w:val="00347315"/>
    <w:rsid w:val="00347BBF"/>
    <w:rsid w:val="00350E9F"/>
    <w:rsid w:val="00351CF9"/>
    <w:rsid w:val="00353296"/>
    <w:rsid w:val="00355EB5"/>
    <w:rsid w:val="00355FB1"/>
    <w:rsid w:val="00357392"/>
    <w:rsid w:val="00360BBA"/>
    <w:rsid w:val="00361762"/>
    <w:rsid w:val="00362019"/>
    <w:rsid w:val="00362144"/>
    <w:rsid w:val="00362252"/>
    <w:rsid w:val="0037120B"/>
    <w:rsid w:val="00371997"/>
    <w:rsid w:val="00372ADF"/>
    <w:rsid w:val="00376630"/>
    <w:rsid w:val="00377E93"/>
    <w:rsid w:val="003829F6"/>
    <w:rsid w:val="00382D32"/>
    <w:rsid w:val="00384317"/>
    <w:rsid w:val="00385897"/>
    <w:rsid w:val="00385B1A"/>
    <w:rsid w:val="003936F9"/>
    <w:rsid w:val="00394953"/>
    <w:rsid w:val="00394B90"/>
    <w:rsid w:val="003959D1"/>
    <w:rsid w:val="00396553"/>
    <w:rsid w:val="00396845"/>
    <w:rsid w:val="00397272"/>
    <w:rsid w:val="003A385F"/>
    <w:rsid w:val="003A3EBA"/>
    <w:rsid w:val="003A5D9D"/>
    <w:rsid w:val="003A5EEE"/>
    <w:rsid w:val="003A7A8B"/>
    <w:rsid w:val="003A7C4B"/>
    <w:rsid w:val="003B35AF"/>
    <w:rsid w:val="003B3BC3"/>
    <w:rsid w:val="003B4D2B"/>
    <w:rsid w:val="003B51D1"/>
    <w:rsid w:val="003B68E8"/>
    <w:rsid w:val="003C0011"/>
    <w:rsid w:val="003C6289"/>
    <w:rsid w:val="003D00DD"/>
    <w:rsid w:val="003D0FE1"/>
    <w:rsid w:val="003D1709"/>
    <w:rsid w:val="003D2BE5"/>
    <w:rsid w:val="003D2EC2"/>
    <w:rsid w:val="003D3CA5"/>
    <w:rsid w:val="003D7C1E"/>
    <w:rsid w:val="003E46C8"/>
    <w:rsid w:val="003E59D4"/>
    <w:rsid w:val="003F1778"/>
    <w:rsid w:val="003F1C74"/>
    <w:rsid w:val="003F53F0"/>
    <w:rsid w:val="00403150"/>
    <w:rsid w:val="00406633"/>
    <w:rsid w:val="00407168"/>
    <w:rsid w:val="004110CA"/>
    <w:rsid w:val="00411AB8"/>
    <w:rsid w:val="00414905"/>
    <w:rsid w:val="00415D42"/>
    <w:rsid w:val="004161F6"/>
    <w:rsid w:val="0042055D"/>
    <w:rsid w:val="00422AF0"/>
    <w:rsid w:val="00422EE5"/>
    <w:rsid w:val="0042341B"/>
    <w:rsid w:val="00423475"/>
    <w:rsid w:val="004235F8"/>
    <w:rsid w:val="004257C0"/>
    <w:rsid w:val="00425983"/>
    <w:rsid w:val="00430F41"/>
    <w:rsid w:val="00431030"/>
    <w:rsid w:val="00432124"/>
    <w:rsid w:val="004357FB"/>
    <w:rsid w:val="00436E1A"/>
    <w:rsid w:val="00440410"/>
    <w:rsid w:val="00440FD1"/>
    <w:rsid w:val="0044182E"/>
    <w:rsid w:val="00442967"/>
    <w:rsid w:val="00442F2A"/>
    <w:rsid w:val="004432F0"/>
    <w:rsid w:val="00444C6B"/>
    <w:rsid w:val="0044509B"/>
    <w:rsid w:val="00446ACA"/>
    <w:rsid w:val="00450485"/>
    <w:rsid w:val="00452463"/>
    <w:rsid w:val="00452F5C"/>
    <w:rsid w:val="004541EE"/>
    <w:rsid w:val="00454E35"/>
    <w:rsid w:val="004557CD"/>
    <w:rsid w:val="0045681C"/>
    <w:rsid w:val="0045684D"/>
    <w:rsid w:val="0045717C"/>
    <w:rsid w:val="004573A0"/>
    <w:rsid w:val="0046200B"/>
    <w:rsid w:val="00462DB6"/>
    <w:rsid w:val="0046400E"/>
    <w:rsid w:val="0046522C"/>
    <w:rsid w:val="0046657E"/>
    <w:rsid w:val="00466974"/>
    <w:rsid w:val="004711A7"/>
    <w:rsid w:val="004711C4"/>
    <w:rsid w:val="00473957"/>
    <w:rsid w:val="004761A8"/>
    <w:rsid w:val="004769B4"/>
    <w:rsid w:val="00476D3F"/>
    <w:rsid w:val="0048077F"/>
    <w:rsid w:val="00480F0F"/>
    <w:rsid w:val="004815AB"/>
    <w:rsid w:val="00482EBC"/>
    <w:rsid w:val="00483AEB"/>
    <w:rsid w:val="004875AD"/>
    <w:rsid w:val="00490B0F"/>
    <w:rsid w:val="004929FD"/>
    <w:rsid w:val="00493501"/>
    <w:rsid w:val="004A0313"/>
    <w:rsid w:val="004A2EFA"/>
    <w:rsid w:val="004B0130"/>
    <w:rsid w:val="004B1025"/>
    <w:rsid w:val="004B2F5E"/>
    <w:rsid w:val="004B5984"/>
    <w:rsid w:val="004B5B31"/>
    <w:rsid w:val="004B5B8E"/>
    <w:rsid w:val="004B734C"/>
    <w:rsid w:val="004C00BB"/>
    <w:rsid w:val="004C1116"/>
    <w:rsid w:val="004C1941"/>
    <w:rsid w:val="004C1A80"/>
    <w:rsid w:val="004C2361"/>
    <w:rsid w:val="004C2644"/>
    <w:rsid w:val="004C2BE4"/>
    <w:rsid w:val="004C3776"/>
    <w:rsid w:val="004C3A08"/>
    <w:rsid w:val="004C3DF2"/>
    <w:rsid w:val="004C4006"/>
    <w:rsid w:val="004C59AF"/>
    <w:rsid w:val="004C5A9E"/>
    <w:rsid w:val="004D0D5F"/>
    <w:rsid w:val="004D2223"/>
    <w:rsid w:val="004D2A6F"/>
    <w:rsid w:val="004D31D0"/>
    <w:rsid w:val="004D55BF"/>
    <w:rsid w:val="004D6582"/>
    <w:rsid w:val="004D7533"/>
    <w:rsid w:val="004D767C"/>
    <w:rsid w:val="004E13D8"/>
    <w:rsid w:val="004E1D45"/>
    <w:rsid w:val="004E33D7"/>
    <w:rsid w:val="004E4044"/>
    <w:rsid w:val="004E6404"/>
    <w:rsid w:val="004E72A8"/>
    <w:rsid w:val="004F02B5"/>
    <w:rsid w:val="004F042C"/>
    <w:rsid w:val="004F3D82"/>
    <w:rsid w:val="004F4B43"/>
    <w:rsid w:val="004F4DFB"/>
    <w:rsid w:val="004F6439"/>
    <w:rsid w:val="004F76F2"/>
    <w:rsid w:val="005001E0"/>
    <w:rsid w:val="0050302F"/>
    <w:rsid w:val="00506720"/>
    <w:rsid w:val="00507CFE"/>
    <w:rsid w:val="00510EF0"/>
    <w:rsid w:val="0051301C"/>
    <w:rsid w:val="005141F1"/>
    <w:rsid w:val="00514D18"/>
    <w:rsid w:val="00516761"/>
    <w:rsid w:val="00520989"/>
    <w:rsid w:val="005232C6"/>
    <w:rsid w:val="0052426D"/>
    <w:rsid w:val="00524CE4"/>
    <w:rsid w:val="005267E1"/>
    <w:rsid w:val="00526E40"/>
    <w:rsid w:val="005311C4"/>
    <w:rsid w:val="00536732"/>
    <w:rsid w:val="00540F6A"/>
    <w:rsid w:val="0054434C"/>
    <w:rsid w:val="00544936"/>
    <w:rsid w:val="0054542B"/>
    <w:rsid w:val="0054576C"/>
    <w:rsid w:val="005461B8"/>
    <w:rsid w:val="0054692F"/>
    <w:rsid w:val="00551760"/>
    <w:rsid w:val="00553B22"/>
    <w:rsid w:val="00555AE7"/>
    <w:rsid w:val="00555BD4"/>
    <w:rsid w:val="005578E4"/>
    <w:rsid w:val="005609C6"/>
    <w:rsid w:val="00564675"/>
    <w:rsid w:val="005648CE"/>
    <w:rsid w:val="00566954"/>
    <w:rsid w:val="00572CB9"/>
    <w:rsid w:val="00581BEE"/>
    <w:rsid w:val="005821AA"/>
    <w:rsid w:val="0058649D"/>
    <w:rsid w:val="00592420"/>
    <w:rsid w:val="00593C09"/>
    <w:rsid w:val="005A22E7"/>
    <w:rsid w:val="005B013D"/>
    <w:rsid w:val="005B0DC0"/>
    <w:rsid w:val="005B0DF3"/>
    <w:rsid w:val="005B181D"/>
    <w:rsid w:val="005B5FAA"/>
    <w:rsid w:val="005B7A32"/>
    <w:rsid w:val="005C126D"/>
    <w:rsid w:val="005C2D5B"/>
    <w:rsid w:val="005C70E4"/>
    <w:rsid w:val="005D13F2"/>
    <w:rsid w:val="005D3E16"/>
    <w:rsid w:val="005D4105"/>
    <w:rsid w:val="005D410D"/>
    <w:rsid w:val="005D79B0"/>
    <w:rsid w:val="005E079F"/>
    <w:rsid w:val="005E34E3"/>
    <w:rsid w:val="005E3EB6"/>
    <w:rsid w:val="005E4BA9"/>
    <w:rsid w:val="005E4E03"/>
    <w:rsid w:val="005E5280"/>
    <w:rsid w:val="005E59DC"/>
    <w:rsid w:val="005F390D"/>
    <w:rsid w:val="005F3D9D"/>
    <w:rsid w:val="005F6359"/>
    <w:rsid w:val="005F6BCF"/>
    <w:rsid w:val="006005D1"/>
    <w:rsid w:val="0060107B"/>
    <w:rsid w:val="00601159"/>
    <w:rsid w:val="00601CBC"/>
    <w:rsid w:val="00602668"/>
    <w:rsid w:val="00605B6B"/>
    <w:rsid w:val="00605D6C"/>
    <w:rsid w:val="0060638F"/>
    <w:rsid w:val="00607E74"/>
    <w:rsid w:val="00610840"/>
    <w:rsid w:val="00612F57"/>
    <w:rsid w:val="006135C4"/>
    <w:rsid w:val="00616C5B"/>
    <w:rsid w:val="00617924"/>
    <w:rsid w:val="00621310"/>
    <w:rsid w:val="0062132C"/>
    <w:rsid w:val="00621784"/>
    <w:rsid w:val="00621BCC"/>
    <w:rsid w:val="00624742"/>
    <w:rsid w:val="006313CB"/>
    <w:rsid w:val="0063157F"/>
    <w:rsid w:val="00631798"/>
    <w:rsid w:val="0063336D"/>
    <w:rsid w:val="00633AFD"/>
    <w:rsid w:val="006350E6"/>
    <w:rsid w:val="006377D6"/>
    <w:rsid w:val="00641EBA"/>
    <w:rsid w:val="006429EC"/>
    <w:rsid w:val="0064383A"/>
    <w:rsid w:val="00643841"/>
    <w:rsid w:val="00644DC1"/>
    <w:rsid w:val="006454DB"/>
    <w:rsid w:val="006458CC"/>
    <w:rsid w:val="00646364"/>
    <w:rsid w:val="00647058"/>
    <w:rsid w:val="006473C9"/>
    <w:rsid w:val="00647F64"/>
    <w:rsid w:val="00652C5C"/>
    <w:rsid w:val="006534A9"/>
    <w:rsid w:val="00653726"/>
    <w:rsid w:val="006562B3"/>
    <w:rsid w:val="006573A3"/>
    <w:rsid w:val="00660860"/>
    <w:rsid w:val="006625EC"/>
    <w:rsid w:val="00663C4B"/>
    <w:rsid w:val="006649ED"/>
    <w:rsid w:val="00665FC5"/>
    <w:rsid w:val="006709DF"/>
    <w:rsid w:val="00670FC8"/>
    <w:rsid w:val="006717FC"/>
    <w:rsid w:val="006742F1"/>
    <w:rsid w:val="00674886"/>
    <w:rsid w:val="00675AFD"/>
    <w:rsid w:val="00682D9F"/>
    <w:rsid w:val="00683137"/>
    <w:rsid w:val="0068472B"/>
    <w:rsid w:val="00684929"/>
    <w:rsid w:val="00685121"/>
    <w:rsid w:val="006856E6"/>
    <w:rsid w:val="006857B9"/>
    <w:rsid w:val="00686050"/>
    <w:rsid w:val="00686294"/>
    <w:rsid w:val="006875C5"/>
    <w:rsid w:val="00692391"/>
    <w:rsid w:val="0069355C"/>
    <w:rsid w:val="00694E2B"/>
    <w:rsid w:val="0069544E"/>
    <w:rsid w:val="0069748E"/>
    <w:rsid w:val="00697C6C"/>
    <w:rsid w:val="006A21C9"/>
    <w:rsid w:val="006A5488"/>
    <w:rsid w:val="006A60BE"/>
    <w:rsid w:val="006A65D0"/>
    <w:rsid w:val="006A7863"/>
    <w:rsid w:val="006B2B51"/>
    <w:rsid w:val="006B48D6"/>
    <w:rsid w:val="006B4A9A"/>
    <w:rsid w:val="006B6165"/>
    <w:rsid w:val="006B685A"/>
    <w:rsid w:val="006C0A7F"/>
    <w:rsid w:val="006C3077"/>
    <w:rsid w:val="006C3393"/>
    <w:rsid w:val="006C37C0"/>
    <w:rsid w:val="006C4AD0"/>
    <w:rsid w:val="006C6BC1"/>
    <w:rsid w:val="006C6BDA"/>
    <w:rsid w:val="006C6E8D"/>
    <w:rsid w:val="006D1619"/>
    <w:rsid w:val="006D1A68"/>
    <w:rsid w:val="006D1FFC"/>
    <w:rsid w:val="006D59F7"/>
    <w:rsid w:val="006E40CB"/>
    <w:rsid w:val="006E4A45"/>
    <w:rsid w:val="006E5DC4"/>
    <w:rsid w:val="006E60D3"/>
    <w:rsid w:val="006E6E69"/>
    <w:rsid w:val="006E7BD9"/>
    <w:rsid w:val="006F1AD7"/>
    <w:rsid w:val="006F29AC"/>
    <w:rsid w:val="006F6F31"/>
    <w:rsid w:val="00700E05"/>
    <w:rsid w:val="007018DF"/>
    <w:rsid w:val="00702025"/>
    <w:rsid w:val="00702F52"/>
    <w:rsid w:val="00703A67"/>
    <w:rsid w:val="00703D8A"/>
    <w:rsid w:val="00704C48"/>
    <w:rsid w:val="00705A81"/>
    <w:rsid w:val="0070686E"/>
    <w:rsid w:val="0071021D"/>
    <w:rsid w:val="0071132D"/>
    <w:rsid w:val="00711376"/>
    <w:rsid w:val="00712305"/>
    <w:rsid w:val="0071322D"/>
    <w:rsid w:val="0072154C"/>
    <w:rsid w:val="007215A1"/>
    <w:rsid w:val="007217AD"/>
    <w:rsid w:val="00721BF7"/>
    <w:rsid w:val="00722202"/>
    <w:rsid w:val="007224F0"/>
    <w:rsid w:val="0072253B"/>
    <w:rsid w:val="0072508A"/>
    <w:rsid w:val="0072657E"/>
    <w:rsid w:val="007265AB"/>
    <w:rsid w:val="0073399A"/>
    <w:rsid w:val="00734719"/>
    <w:rsid w:val="007348AA"/>
    <w:rsid w:val="00736DAE"/>
    <w:rsid w:val="00737EBE"/>
    <w:rsid w:val="00737F61"/>
    <w:rsid w:val="00737FB0"/>
    <w:rsid w:val="00740C45"/>
    <w:rsid w:val="00743A68"/>
    <w:rsid w:val="00744334"/>
    <w:rsid w:val="0074561F"/>
    <w:rsid w:val="00747453"/>
    <w:rsid w:val="007543DC"/>
    <w:rsid w:val="00754F6F"/>
    <w:rsid w:val="0075506D"/>
    <w:rsid w:val="0076590D"/>
    <w:rsid w:val="00766576"/>
    <w:rsid w:val="00771CDC"/>
    <w:rsid w:val="00771E6D"/>
    <w:rsid w:val="00772CA3"/>
    <w:rsid w:val="00780612"/>
    <w:rsid w:val="0078215D"/>
    <w:rsid w:val="00782ACA"/>
    <w:rsid w:val="00782BC3"/>
    <w:rsid w:val="00784716"/>
    <w:rsid w:val="00785303"/>
    <w:rsid w:val="00786FDB"/>
    <w:rsid w:val="007870F6"/>
    <w:rsid w:val="007871C9"/>
    <w:rsid w:val="0079150A"/>
    <w:rsid w:val="007942B0"/>
    <w:rsid w:val="00795102"/>
    <w:rsid w:val="007A1647"/>
    <w:rsid w:val="007A1919"/>
    <w:rsid w:val="007A379A"/>
    <w:rsid w:val="007A53E9"/>
    <w:rsid w:val="007A5EE9"/>
    <w:rsid w:val="007A5F2C"/>
    <w:rsid w:val="007B1897"/>
    <w:rsid w:val="007B28CA"/>
    <w:rsid w:val="007B4545"/>
    <w:rsid w:val="007B5107"/>
    <w:rsid w:val="007C2128"/>
    <w:rsid w:val="007C29CE"/>
    <w:rsid w:val="007C30AA"/>
    <w:rsid w:val="007C3E56"/>
    <w:rsid w:val="007D0EF3"/>
    <w:rsid w:val="007D4C3A"/>
    <w:rsid w:val="007D5CCE"/>
    <w:rsid w:val="007D6213"/>
    <w:rsid w:val="007D7265"/>
    <w:rsid w:val="007E25DF"/>
    <w:rsid w:val="007E2F69"/>
    <w:rsid w:val="007E45C7"/>
    <w:rsid w:val="007E514C"/>
    <w:rsid w:val="007E52D3"/>
    <w:rsid w:val="007E62D9"/>
    <w:rsid w:val="007E7612"/>
    <w:rsid w:val="007F130F"/>
    <w:rsid w:val="007F185B"/>
    <w:rsid w:val="007F1AE9"/>
    <w:rsid w:val="007F23C6"/>
    <w:rsid w:val="007F453F"/>
    <w:rsid w:val="007F57D2"/>
    <w:rsid w:val="007F5EAC"/>
    <w:rsid w:val="007F6209"/>
    <w:rsid w:val="00801EC2"/>
    <w:rsid w:val="00804064"/>
    <w:rsid w:val="00805036"/>
    <w:rsid w:val="00805372"/>
    <w:rsid w:val="0080652B"/>
    <w:rsid w:val="008077B2"/>
    <w:rsid w:val="008110C5"/>
    <w:rsid w:val="00814148"/>
    <w:rsid w:val="008146CA"/>
    <w:rsid w:val="00814F1E"/>
    <w:rsid w:val="00815E6D"/>
    <w:rsid w:val="0081669E"/>
    <w:rsid w:val="0081711D"/>
    <w:rsid w:val="00817A06"/>
    <w:rsid w:val="00817E15"/>
    <w:rsid w:val="008215C3"/>
    <w:rsid w:val="008223BD"/>
    <w:rsid w:val="00822437"/>
    <w:rsid w:val="00823D6F"/>
    <w:rsid w:val="00824FCD"/>
    <w:rsid w:val="00826DCC"/>
    <w:rsid w:val="00830DB8"/>
    <w:rsid w:val="00835441"/>
    <w:rsid w:val="00836897"/>
    <w:rsid w:val="00836ADC"/>
    <w:rsid w:val="00841917"/>
    <w:rsid w:val="00842C64"/>
    <w:rsid w:val="0084536D"/>
    <w:rsid w:val="00846110"/>
    <w:rsid w:val="00846A5B"/>
    <w:rsid w:val="00852498"/>
    <w:rsid w:val="00853C5F"/>
    <w:rsid w:val="0085443A"/>
    <w:rsid w:val="008555CE"/>
    <w:rsid w:val="008559BC"/>
    <w:rsid w:val="008574AB"/>
    <w:rsid w:val="00860EF7"/>
    <w:rsid w:val="008616B4"/>
    <w:rsid w:val="0086186B"/>
    <w:rsid w:val="008618DB"/>
    <w:rsid w:val="008626B7"/>
    <w:rsid w:val="008628AC"/>
    <w:rsid w:val="008635E7"/>
    <w:rsid w:val="008652AC"/>
    <w:rsid w:val="00867754"/>
    <w:rsid w:val="00870612"/>
    <w:rsid w:val="00870AB3"/>
    <w:rsid w:val="00871841"/>
    <w:rsid w:val="00872856"/>
    <w:rsid w:val="00872A5E"/>
    <w:rsid w:val="0087333E"/>
    <w:rsid w:val="00873753"/>
    <w:rsid w:val="008741CB"/>
    <w:rsid w:val="00876BE7"/>
    <w:rsid w:val="00881570"/>
    <w:rsid w:val="0088369E"/>
    <w:rsid w:val="008847C9"/>
    <w:rsid w:val="00884FC6"/>
    <w:rsid w:val="008866C9"/>
    <w:rsid w:val="00886C33"/>
    <w:rsid w:val="0088721E"/>
    <w:rsid w:val="008879BE"/>
    <w:rsid w:val="00890EC0"/>
    <w:rsid w:val="00891D91"/>
    <w:rsid w:val="008962D8"/>
    <w:rsid w:val="008A19EB"/>
    <w:rsid w:val="008A3434"/>
    <w:rsid w:val="008A347B"/>
    <w:rsid w:val="008A3823"/>
    <w:rsid w:val="008A55B8"/>
    <w:rsid w:val="008A5818"/>
    <w:rsid w:val="008A692F"/>
    <w:rsid w:val="008A7896"/>
    <w:rsid w:val="008B16FE"/>
    <w:rsid w:val="008B4534"/>
    <w:rsid w:val="008B4BD6"/>
    <w:rsid w:val="008B5713"/>
    <w:rsid w:val="008B66FE"/>
    <w:rsid w:val="008B7C65"/>
    <w:rsid w:val="008B7CE1"/>
    <w:rsid w:val="008C2508"/>
    <w:rsid w:val="008C39DF"/>
    <w:rsid w:val="008C522B"/>
    <w:rsid w:val="008C6F7A"/>
    <w:rsid w:val="008D013C"/>
    <w:rsid w:val="008D0222"/>
    <w:rsid w:val="008D025C"/>
    <w:rsid w:val="008D221F"/>
    <w:rsid w:val="008D2666"/>
    <w:rsid w:val="008D2C97"/>
    <w:rsid w:val="008D4374"/>
    <w:rsid w:val="008D43C0"/>
    <w:rsid w:val="008D47DC"/>
    <w:rsid w:val="008D6285"/>
    <w:rsid w:val="008D6BBE"/>
    <w:rsid w:val="008D6C95"/>
    <w:rsid w:val="008D7A7D"/>
    <w:rsid w:val="008D7CCC"/>
    <w:rsid w:val="008E0474"/>
    <w:rsid w:val="008E3901"/>
    <w:rsid w:val="008E73FE"/>
    <w:rsid w:val="008F3A7B"/>
    <w:rsid w:val="008F62DA"/>
    <w:rsid w:val="008F6F55"/>
    <w:rsid w:val="009000DF"/>
    <w:rsid w:val="00900519"/>
    <w:rsid w:val="00900D53"/>
    <w:rsid w:val="00900F2F"/>
    <w:rsid w:val="0090200C"/>
    <w:rsid w:val="00903EA9"/>
    <w:rsid w:val="00906A52"/>
    <w:rsid w:val="00910A15"/>
    <w:rsid w:val="00911A99"/>
    <w:rsid w:val="00915A57"/>
    <w:rsid w:val="00916AEC"/>
    <w:rsid w:val="009176E4"/>
    <w:rsid w:val="00921C33"/>
    <w:rsid w:val="00925687"/>
    <w:rsid w:val="0093062D"/>
    <w:rsid w:val="00930BC9"/>
    <w:rsid w:val="009336FB"/>
    <w:rsid w:val="009337D3"/>
    <w:rsid w:val="00935518"/>
    <w:rsid w:val="00935B82"/>
    <w:rsid w:val="00940029"/>
    <w:rsid w:val="009437F6"/>
    <w:rsid w:val="0094454F"/>
    <w:rsid w:val="00946367"/>
    <w:rsid w:val="00946D8F"/>
    <w:rsid w:val="00953F24"/>
    <w:rsid w:val="0095550C"/>
    <w:rsid w:val="00956EB6"/>
    <w:rsid w:val="00961241"/>
    <w:rsid w:val="00961856"/>
    <w:rsid w:val="00961864"/>
    <w:rsid w:val="00961ABE"/>
    <w:rsid w:val="00963F6D"/>
    <w:rsid w:val="00964C54"/>
    <w:rsid w:val="00970132"/>
    <w:rsid w:val="009702B9"/>
    <w:rsid w:val="00971106"/>
    <w:rsid w:val="00974FE0"/>
    <w:rsid w:val="009756ED"/>
    <w:rsid w:val="00975F0F"/>
    <w:rsid w:val="00975F7D"/>
    <w:rsid w:val="00976036"/>
    <w:rsid w:val="00977561"/>
    <w:rsid w:val="00980631"/>
    <w:rsid w:val="00983340"/>
    <w:rsid w:val="009838FC"/>
    <w:rsid w:val="00985AE2"/>
    <w:rsid w:val="0099337E"/>
    <w:rsid w:val="00996705"/>
    <w:rsid w:val="00997227"/>
    <w:rsid w:val="00997DCD"/>
    <w:rsid w:val="009A1B41"/>
    <w:rsid w:val="009A5A9C"/>
    <w:rsid w:val="009A5E80"/>
    <w:rsid w:val="009B07A9"/>
    <w:rsid w:val="009B2CFA"/>
    <w:rsid w:val="009B57DB"/>
    <w:rsid w:val="009B5BB5"/>
    <w:rsid w:val="009B6586"/>
    <w:rsid w:val="009B6FFC"/>
    <w:rsid w:val="009C0083"/>
    <w:rsid w:val="009C03C3"/>
    <w:rsid w:val="009C1B1C"/>
    <w:rsid w:val="009C2081"/>
    <w:rsid w:val="009C2F6F"/>
    <w:rsid w:val="009C3450"/>
    <w:rsid w:val="009C5E50"/>
    <w:rsid w:val="009D37B3"/>
    <w:rsid w:val="009D3B58"/>
    <w:rsid w:val="009D4D58"/>
    <w:rsid w:val="009D75AB"/>
    <w:rsid w:val="009D7608"/>
    <w:rsid w:val="009D7FE6"/>
    <w:rsid w:val="009E2F75"/>
    <w:rsid w:val="009E3219"/>
    <w:rsid w:val="009E3343"/>
    <w:rsid w:val="009E3BB3"/>
    <w:rsid w:val="009E3C97"/>
    <w:rsid w:val="009E41D3"/>
    <w:rsid w:val="009E644B"/>
    <w:rsid w:val="009E7C32"/>
    <w:rsid w:val="009F08D0"/>
    <w:rsid w:val="009F1C63"/>
    <w:rsid w:val="009F372D"/>
    <w:rsid w:val="009F373F"/>
    <w:rsid w:val="009F3F25"/>
    <w:rsid w:val="009F4E05"/>
    <w:rsid w:val="009F733B"/>
    <w:rsid w:val="009F745D"/>
    <w:rsid w:val="00A0349D"/>
    <w:rsid w:val="00A04830"/>
    <w:rsid w:val="00A06CAE"/>
    <w:rsid w:val="00A13153"/>
    <w:rsid w:val="00A132D1"/>
    <w:rsid w:val="00A143E6"/>
    <w:rsid w:val="00A15469"/>
    <w:rsid w:val="00A17F23"/>
    <w:rsid w:val="00A21156"/>
    <w:rsid w:val="00A213AF"/>
    <w:rsid w:val="00A22956"/>
    <w:rsid w:val="00A254B0"/>
    <w:rsid w:val="00A25A11"/>
    <w:rsid w:val="00A25DD1"/>
    <w:rsid w:val="00A268A2"/>
    <w:rsid w:val="00A2796D"/>
    <w:rsid w:val="00A322DB"/>
    <w:rsid w:val="00A327CE"/>
    <w:rsid w:val="00A33930"/>
    <w:rsid w:val="00A33E90"/>
    <w:rsid w:val="00A40908"/>
    <w:rsid w:val="00A4090C"/>
    <w:rsid w:val="00A41326"/>
    <w:rsid w:val="00A43230"/>
    <w:rsid w:val="00A44331"/>
    <w:rsid w:val="00A44EEE"/>
    <w:rsid w:val="00A459DE"/>
    <w:rsid w:val="00A5126C"/>
    <w:rsid w:val="00A530C1"/>
    <w:rsid w:val="00A539C2"/>
    <w:rsid w:val="00A5552C"/>
    <w:rsid w:val="00A55F9C"/>
    <w:rsid w:val="00A563E3"/>
    <w:rsid w:val="00A5764F"/>
    <w:rsid w:val="00A577F4"/>
    <w:rsid w:val="00A6198D"/>
    <w:rsid w:val="00A62C40"/>
    <w:rsid w:val="00A62FD4"/>
    <w:rsid w:val="00A639E2"/>
    <w:rsid w:val="00A64E74"/>
    <w:rsid w:val="00A65720"/>
    <w:rsid w:val="00A7015D"/>
    <w:rsid w:val="00A702DB"/>
    <w:rsid w:val="00A71890"/>
    <w:rsid w:val="00A77640"/>
    <w:rsid w:val="00A77FC2"/>
    <w:rsid w:val="00A80AC2"/>
    <w:rsid w:val="00A82664"/>
    <w:rsid w:val="00A82DBF"/>
    <w:rsid w:val="00A836A1"/>
    <w:rsid w:val="00A836B3"/>
    <w:rsid w:val="00A83F91"/>
    <w:rsid w:val="00A843E7"/>
    <w:rsid w:val="00A86920"/>
    <w:rsid w:val="00A92F05"/>
    <w:rsid w:val="00A92F9F"/>
    <w:rsid w:val="00A944B4"/>
    <w:rsid w:val="00A955AB"/>
    <w:rsid w:val="00A97D87"/>
    <w:rsid w:val="00AA0F29"/>
    <w:rsid w:val="00AA2FAB"/>
    <w:rsid w:val="00AA473B"/>
    <w:rsid w:val="00AA511F"/>
    <w:rsid w:val="00AB05C0"/>
    <w:rsid w:val="00AB2542"/>
    <w:rsid w:val="00AB3429"/>
    <w:rsid w:val="00AB4DB8"/>
    <w:rsid w:val="00AC21C3"/>
    <w:rsid w:val="00AC2A9D"/>
    <w:rsid w:val="00AC34F2"/>
    <w:rsid w:val="00AC3A41"/>
    <w:rsid w:val="00AC3F0C"/>
    <w:rsid w:val="00AC4B1B"/>
    <w:rsid w:val="00AC5FCB"/>
    <w:rsid w:val="00AC7659"/>
    <w:rsid w:val="00AD0124"/>
    <w:rsid w:val="00AD2CD3"/>
    <w:rsid w:val="00AD54D6"/>
    <w:rsid w:val="00AD684B"/>
    <w:rsid w:val="00AD76A9"/>
    <w:rsid w:val="00AE0844"/>
    <w:rsid w:val="00AE13FC"/>
    <w:rsid w:val="00AE2F09"/>
    <w:rsid w:val="00AE48B8"/>
    <w:rsid w:val="00AE5B78"/>
    <w:rsid w:val="00AE646F"/>
    <w:rsid w:val="00AE7D09"/>
    <w:rsid w:val="00AF1026"/>
    <w:rsid w:val="00AF254D"/>
    <w:rsid w:val="00AF4F72"/>
    <w:rsid w:val="00B005A6"/>
    <w:rsid w:val="00B02023"/>
    <w:rsid w:val="00B03D22"/>
    <w:rsid w:val="00B043DC"/>
    <w:rsid w:val="00B11E0D"/>
    <w:rsid w:val="00B175B1"/>
    <w:rsid w:val="00B21265"/>
    <w:rsid w:val="00B2177E"/>
    <w:rsid w:val="00B22878"/>
    <w:rsid w:val="00B22ED2"/>
    <w:rsid w:val="00B25FE3"/>
    <w:rsid w:val="00B331C0"/>
    <w:rsid w:val="00B35330"/>
    <w:rsid w:val="00B35A79"/>
    <w:rsid w:val="00B36E37"/>
    <w:rsid w:val="00B4024C"/>
    <w:rsid w:val="00B42F04"/>
    <w:rsid w:val="00B45BD6"/>
    <w:rsid w:val="00B514F2"/>
    <w:rsid w:val="00B52E92"/>
    <w:rsid w:val="00B54D32"/>
    <w:rsid w:val="00B66195"/>
    <w:rsid w:val="00B66D14"/>
    <w:rsid w:val="00B70CE3"/>
    <w:rsid w:val="00B73B75"/>
    <w:rsid w:val="00B7609E"/>
    <w:rsid w:val="00B76917"/>
    <w:rsid w:val="00B80E13"/>
    <w:rsid w:val="00B81631"/>
    <w:rsid w:val="00B83E6F"/>
    <w:rsid w:val="00B84F48"/>
    <w:rsid w:val="00B9336A"/>
    <w:rsid w:val="00B94180"/>
    <w:rsid w:val="00B9443C"/>
    <w:rsid w:val="00B9453C"/>
    <w:rsid w:val="00B9623D"/>
    <w:rsid w:val="00BA18F9"/>
    <w:rsid w:val="00BA4282"/>
    <w:rsid w:val="00BA4471"/>
    <w:rsid w:val="00BA4C1B"/>
    <w:rsid w:val="00BA6096"/>
    <w:rsid w:val="00BB2C9D"/>
    <w:rsid w:val="00BB5523"/>
    <w:rsid w:val="00BB5B06"/>
    <w:rsid w:val="00BB6C75"/>
    <w:rsid w:val="00BC256C"/>
    <w:rsid w:val="00BC5A20"/>
    <w:rsid w:val="00BC6F4C"/>
    <w:rsid w:val="00BC7295"/>
    <w:rsid w:val="00BD1457"/>
    <w:rsid w:val="00BD3F1C"/>
    <w:rsid w:val="00BD3F73"/>
    <w:rsid w:val="00BD453D"/>
    <w:rsid w:val="00BD6FE6"/>
    <w:rsid w:val="00BE00EB"/>
    <w:rsid w:val="00BE01DF"/>
    <w:rsid w:val="00BE1031"/>
    <w:rsid w:val="00BE1D8C"/>
    <w:rsid w:val="00BE31DE"/>
    <w:rsid w:val="00BE48AB"/>
    <w:rsid w:val="00BE5CEE"/>
    <w:rsid w:val="00BE5ED9"/>
    <w:rsid w:val="00BE6481"/>
    <w:rsid w:val="00BF05B2"/>
    <w:rsid w:val="00BF0BF7"/>
    <w:rsid w:val="00BF123A"/>
    <w:rsid w:val="00BF1D49"/>
    <w:rsid w:val="00BF310E"/>
    <w:rsid w:val="00BF4048"/>
    <w:rsid w:val="00BF4148"/>
    <w:rsid w:val="00BF47A3"/>
    <w:rsid w:val="00BF5D11"/>
    <w:rsid w:val="00BF79C7"/>
    <w:rsid w:val="00C01BCC"/>
    <w:rsid w:val="00C02999"/>
    <w:rsid w:val="00C039D3"/>
    <w:rsid w:val="00C03C48"/>
    <w:rsid w:val="00C04945"/>
    <w:rsid w:val="00C050BD"/>
    <w:rsid w:val="00C06C5D"/>
    <w:rsid w:val="00C07B3E"/>
    <w:rsid w:val="00C10494"/>
    <w:rsid w:val="00C1232C"/>
    <w:rsid w:val="00C12555"/>
    <w:rsid w:val="00C130BA"/>
    <w:rsid w:val="00C16D30"/>
    <w:rsid w:val="00C174B5"/>
    <w:rsid w:val="00C17D87"/>
    <w:rsid w:val="00C20B1C"/>
    <w:rsid w:val="00C20E0E"/>
    <w:rsid w:val="00C2177A"/>
    <w:rsid w:val="00C235CE"/>
    <w:rsid w:val="00C237ED"/>
    <w:rsid w:val="00C23DD4"/>
    <w:rsid w:val="00C240BD"/>
    <w:rsid w:val="00C24312"/>
    <w:rsid w:val="00C254F7"/>
    <w:rsid w:val="00C3153C"/>
    <w:rsid w:val="00C31A70"/>
    <w:rsid w:val="00C32257"/>
    <w:rsid w:val="00C329BC"/>
    <w:rsid w:val="00C334B6"/>
    <w:rsid w:val="00C35E6C"/>
    <w:rsid w:val="00C36643"/>
    <w:rsid w:val="00C40A38"/>
    <w:rsid w:val="00C41336"/>
    <w:rsid w:val="00C42E75"/>
    <w:rsid w:val="00C431BF"/>
    <w:rsid w:val="00C44B2B"/>
    <w:rsid w:val="00C44CC3"/>
    <w:rsid w:val="00C44E6C"/>
    <w:rsid w:val="00C51F61"/>
    <w:rsid w:val="00C522A9"/>
    <w:rsid w:val="00C53988"/>
    <w:rsid w:val="00C541F8"/>
    <w:rsid w:val="00C549FA"/>
    <w:rsid w:val="00C54D50"/>
    <w:rsid w:val="00C55B9E"/>
    <w:rsid w:val="00C55DCC"/>
    <w:rsid w:val="00C56C45"/>
    <w:rsid w:val="00C602A9"/>
    <w:rsid w:val="00C62CE2"/>
    <w:rsid w:val="00C63B48"/>
    <w:rsid w:val="00C679F7"/>
    <w:rsid w:val="00C70EFF"/>
    <w:rsid w:val="00C73C37"/>
    <w:rsid w:val="00C743E6"/>
    <w:rsid w:val="00C76FCF"/>
    <w:rsid w:val="00C830BC"/>
    <w:rsid w:val="00C83D52"/>
    <w:rsid w:val="00C84437"/>
    <w:rsid w:val="00C84528"/>
    <w:rsid w:val="00C867D6"/>
    <w:rsid w:val="00C915AB"/>
    <w:rsid w:val="00C91817"/>
    <w:rsid w:val="00C924A9"/>
    <w:rsid w:val="00C93D70"/>
    <w:rsid w:val="00C9479F"/>
    <w:rsid w:val="00C94DB8"/>
    <w:rsid w:val="00C95F0D"/>
    <w:rsid w:val="00C9778F"/>
    <w:rsid w:val="00CA21F9"/>
    <w:rsid w:val="00CA5EA6"/>
    <w:rsid w:val="00CA60A1"/>
    <w:rsid w:val="00CA6AB7"/>
    <w:rsid w:val="00CB1ADE"/>
    <w:rsid w:val="00CB3CF2"/>
    <w:rsid w:val="00CB3DD9"/>
    <w:rsid w:val="00CB542D"/>
    <w:rsid w:val="00CB55CC"/>
    <w:rsid w:val="00CB5B4E"/>
    <w:rsid w:val="00CB64DD"/>
    <w:rsid w:val="00CB7EF5"/>
    <w:rsid w:val="00CC02DD"/>
    <w:rsid w:val="00CC08B2"/>
    <w:rsid w:val="00CC0E34"/>
    <w:rsid w:val="00CC17C4"/>
    <w:rsid w:val="00CC290F"/>
    <w:rsid w:val="00CC2CF6"/>
    <w:rsid w:val="00CC3131"/>
    <w:rsid w:val="00CC3652"/>
    <w:rsid w:val="00CC3982"/>
    <w:rsid w:val="00CC3D13"/>
    <w:rsid w:val="00CC4E7E"/>
    <w:rsid w:val="00CD4C56"/>
    <w:rsid w:val="00CD7568"/>
    <w:rsid w:val="00CD79E3"/>
    <w:rsid w:val="00CD7E8C"/>
    <w:rsid w:val="00CE04D1"/>
    <w:rsid w:val="00CE35DD"/>
    <w:rsid w:val="00CE4BC2"/>
    <w:rsid w:val="00CE5513"/>
    <w:rsid w:val="00CE5A5B"/>
    <w:rsid w:val="00CE5DB5"/>
    <w:rsid w:val="00CE5F9C"/>
    <w:rsid w:val="00CE6D15"/>
    <w:rsid w:val="00CE72D6"/>
    <w:rsid w:val="00CE7951"/>
    <w:rsid w:val="00CF1260"/>
    <w:rsid w:val="00CF1F0F"/>
    <w:rsid w:val="00CF390B"/>
    <w:rsid w:val="00CF4CDC"/>
    <w:rsid w:val="00CF5DEE"/>
    <w:rsid w:val="00CF7186"/>
    <w:rsid w:val="00CF7CFD"/>
    <w:rsid w:val="00D00404"/>
    <w:rsid w:val="00D0070A"/>
    <w:rsid w:val="00D00759"/>
    <w:rsid w:val="00D00F5E"/>
    <w:rsid w:val="00D022F5"/>
    <w:rsid w:val="00D02542"/>
    <w:rsid w:val="00D03A8D"/>
    <w:rsid w:val="00D0495C"/>
    <w:rsid w:val="00D04BB4"/>
    <w:rsid w:val="00D05546"/>
    <w:rsid w:val="00D05908"/>
    <w:rsid w:val="00D05B4B"/>
    <w:rsid w:val="00D0655C"/>
    <w:rsid w:val="00D06CF9"/>
    <w:rsid w:val="00D104D1"/>
    <w:rsid w:val="00D135D9"/>
    <w:rsid w:val="00D16A40"/>
    <w:rsid w:val="00D17642"/>
    <w:rsid w:val="00D1774C"/>
    <w:rsid w:val="00D20213"/>
    <w:rsid w:val="00D22AE2"/>
    <w:rsid w:val="00D25F52"/>
    <w:rsid w:val="00D27A7B"/>
    <w:rsid w:val="00D300F3"/>
    <w:rsid w:val="00D31DD0"/>
    <w:rsid w:val="00D338DA"/>
    <w:rsid w:val="00D33BC4"/>
    <w:rsid w:val="00D343CD"/>
    <w:rsid w:val="00D34573"/>
    <w:rsid w:val="00D35812"/>
    <w:rsid w:val="00D35A86"/>
    <w:rsid w:val="00D4165B"/>
    <w:rsid w:val="00D41A17"/>
    <w:rsid w:val="00D427A0"/>
    <w:rsid w:val="00D42EF5"/>
    <w:rsid w:val="00D434D7"/>
    <w:rsid w:val="00D441BD"/>
    <w:rsid w:val="00D44661"/>
    <w:rsid w:val="00D44780"/>
    <w:rsid w:val="00D478B2"/>
    <w:rsid w:val="00D532BD"/>
    <w:rsid w:val="00D53DD8"/>
    <w:rsid w:val="00D555FA"/>
    <w:rsid w:val="00D56962"/>
    <w:rsid w:val="00D5711C"/>
    <w:rsid w:val="00D57494"/>
    <w:rsid w:val="00D6030C"/>
    <w:rsid w:val="00D61B25"/>
    <w:rsid w:val="00D61E5B"/>
    <w:rsid w:val="00D6279B"/>
    <w:rsid w:val="00D627BC"/>
    <w:rsid w:val="00D63452"/>
    <w:rsid w:val="00D65F51"/>
    <w:rsid w:val="00D66A91"/>
    <w:rsid w:val="00D718C4"/>
    <w:rsid w:val="00D7265C"/>
    <w:rsid w:val="00D73BB4"/>
    <w:rsid w:val="00D76FE1"/>
    <w:rsid w:val="00D77CBA"/>
    <w:rsid w:val="00D80412"/>
    <w:rsid w:val="00D82457"/>
    <w:rsid w:val="00D84AB9"/>
    <w:rsid w:val="00D85A95"/>
    <w:rsid w:val="00D86A4B"/>
    <w:rsid w:val="00D86ED2"/>
    <w:rsid w:val="00D90B7A"/>
    <w:rsid w:val="00D9125E"/>
    <w:rsid w:val="00D94F1C"/>
    <w:rsid w:val="00D952C6"/>
    <w:rsid w:val="00D96B8C"/>
    <w:rsid w:val="00DA0CBA"/>
    <w:rsid w:val="00DA2740"/>
    <w:rsid w:val="00DA3D3D"/>
    <w:rsid w:val="00DA4328"/>
    <w:rsid w:val="00DA4583"/>
    <w:rsid w:val="00DA4859"/>
    <w:rsid w:val="00DA55D5"/>
    <w:rsid w:val="00DB04A0"/>
    <w:rsid w:val="00DB2A40"/>
    <w:rsid w:val="00DB3590"/>
    <w:rsid w:val="00DB3A85"/>
    <w:rsid w:val="00DB3B4C"/>
    <w:rsid w:val="00DB7801"/>
    <w:rsid w:val="00DB7DB5"/>
    <w:rsid w:val="00DC09EE"/>
    <w:rsid w:val="00DC1876"/>
    <w:rsid w:val="00DC2E77"/>
    <w:rsid w:val="00DC5FE0"/>
    <w:rsid w:val="00DC7394"/>
    <w:rsid w:val="00DD1398"/>
    <w:rsid w:val="00DD4BBA"/>
    <w:rsid w:val="00DD52FF"/>
    <w:rsid w:val="00DD71C6"/>
    <w:rsid w:val="00DD7BF0"/>
    <w:rsid w:val="00DE0A27"/>
    <w:rsid w:val="00DE2AEF"/>
    <w:rsid w:val="00DE36D4"/>
    <w:rsid w:val="00DE382E"/>
    <w:rsid w:val="00DE67F7"/>
    <w:rsid w:val="00DF086A"/>
    <w:rsid w:val="00DF5FE4"/>
    <w:rsid w:val="00DF6E22"/>
    <w:rsid w:val="00E01C88"/>
    <w:rsid w:val="00E04154"/>
    <w:rsid w:val="00E05B73"/>
    <w:rsid w:val="00E05C85"/>
    <w:rsid w:val="00E13580"/>
    <w:rsid w:val="00E149EA"/>
    <w:rsid w:val="00E15E29"/>
    <w:rsid w:val="00E178F6"/>
    <w:rsid w:val="00E230BB"/>
    <w:rsid w:val="00E24259"/>
    <w:rsid w:val="00E25C2E"/>
    <w:rsid w:val="00E26A04"/>
    <w:rsid w:val="00E30131"/>
    <w:rsid w:val="00E363C4"/>
    <w:rsid w:val="00E371E8"/>
    <w:rsid w:val="00E406AB"/>
    <w:rsid w:val="00E410BC"/>
    <w:rsid w:val="00E42917"/>
    <w:rsid w:val="00E42993"/>
    <w:rsid w:val="00E4327C"/>
    <w:rsid w:val="00E43EC2"/>
    <w:rsid w:val="00E44DCE"/>
    <w:rsid w:val="00E44F9D"/>
    <w:rsid w:val="00E45D2B"/>
    <w:rsid w:val="00E464AC"/>
    <w:rsid w:val="00E477CB"/>
    <w:rsid w:val="00E521A6"/>
    <w:rsid w:val="00E547CE"/>
    <w:rsid w:val="00E55447"/>
    <w:rsid w:val="00E57C44"/>
    <w:rsid w:val="00E63019"/>
    <w:rsid w:val="00E63F49"/>
    <w:rsid w:val="00E63FBD"/>
    <w:rsid w:val="00E63FFE"/>
    <w:rsid w:val="00E64124"/>
    <w:rsid w:val="00E643AD"/>
    <w:rsid w:val="00E6712A"/>
    <w:rsid w:val="00E6780F"/>
    <w:rsid w:val="00E756C7"/>
    <w:rsid w:val="00E80477"/>
    <w:rsid w:val="00E83043"/>
    <w:rsid w:val="00E834A5"/>
    <w:rsid w:val="00E838BA"/>
    <w:rsid w:val="00E8397A"/>
    <w:rsid w:val="00E84FDE"/>
    <w:rsid w:val="00E85E1E"/>
    <w:rsid w:val="00E8740D"/>
    <w:rsid w:val="00E874FB"/>
    <w:rsid w:val="00E878A8"/>
    <w:rsid w:val="00E91065"/>
    <w:rsid w:val="00E929AC"/>
    <w:rsid w:val="00E952EB"/>
    <w:rsid w:val="00E962E3"/>
    <w:rsid w:val="00EA078B"/>
    <w:rsid w:val="00EA1FF4"/>
    <w:rsid w:val="00EA4814"/>
    <w:rsid w:val="00EB07F2"/>
    <w:rsid w:val="00EB0B7A"/>
    <w:rsid w:val="00EB148E"/>
    <w:rsid w:val="00EB2399"/>
    <w:rsid w:val="00EB2741"/>
    <w:rsid w:val="00EB6D12"/>
    <w:rsid w:val="00EC3782"/>
    <w:rsid w:val="00EC4915"/>
    <w:rsid w:val="00EC4E94"/>
    <w:rsid w:val="00EC7148"/>
    <w:rsid w:val="00ED27DF"/>
    <w:rsid w:val="00ED2FA9"/>
    <w:rsid w:val="00ED3950"/>
    <w:rsid w:val="00ED4C28"/>
    <w:rsid w:val="00ED6338"/>
    <w:rsid w:val="00ED76A5"/>
    <w:rsid w:val="00EE00B9"/>
    <w:rsid w:val="00EE609D"/>
    <w:rsid w:val="00EE63EF"/>
    <w:rsid w:val="00EE6CFA"/>
    <w:rsid w:val="00EE79B9"/>
    <w:rsid w:val="00EE79D0"/>
    <w:rsid w:val="00EE7DCB"/>
    <w:rsid w:val="00EF04E5"/>
    <w:rsid w:val="00EF1A76"/>
    <w:rsid w:val="00EF21E3"/>
    <w:rsid w:val="00EF28B0"/>
    <w:rsid w:val="00EF4DA5"/>
    <w:rsid w:val="00EF7AF3"/>
    <w:rsid w:val="00F03C48"/>
    <w:rsid w:val="00F04BA2"/>
    <w:rsid w:val="00F05028"/>
    <w:rsid w:val="00F1095A"/>
    <w:rsid w:val="00F11713"/>
    <w:rsid w:val="00F13B79"/>
    <w:rsid w:val="00F14077"/>
    <w:rsid w:val="00F14382"/>
    <w:rsid w:val="00F205D6"/>
    <w:rsid w:val="00F216BA"/>
    <w:rsid w:val="00F21B75"/>
    <w:rsid w:val="00F22014"/>
    <w:rsid w:val="00F245C8"/>
    <w:rsid w:val="00F3455A"/>
    <w:rsid w:val="00F37FD3"/>
    <w:rsid w:val="00F40505"/>
    <w:rsid w:val="00F41AE3"/>
    <w:rsid w:val="00F42101"/>
    <w:rsid w:val="00F42183"/>
    <w:rsid w:val="00F4440C"/>
    <w:rsid w:val="00F44E09"/>
    <w:rsid w:val="00F458D0"/>
    <w:rsid w:val="00F47379"/>
    <w:rsid w:val="00F50437"/>
    <w:rsid w:val="00F50E20"/>
    <w:rsid w:val="00F53EE0"/>
    <w:rsid w:val="00F5621B"/>
    <w:rsid w:val="00F56639"/>
    <w:rsid w:val="00F576C2"/>
    <w:rsid w:val="00F600E1"/>
    <w:rsid w:val="00F612BE"/>
    <w:rsid w:val="00F61459"/>
    <w:rsid w:val="00F62081"/>
    <w:rsid w:val="00F62B57"/>
    <w:rsid w:val="00F6421C"/>
    <w:rsid w:val="00F6547C"/>
    <w:rsid w:val="00F65772"/>
    <w:rsid w:val="00F65CDA"/>
    <w:rsid w:val="00F67795"/>
    <w:rsid w:val="00F72EA8"/>
    <w:rsid w:val="00F74620"/>
    <w:rsid w:val="00F75686"/>
    <w:rsid w:val="00F760AB"/>
    <w:rsid w:val="00F800F9"/>
    <w:rsid w:val="00F82FB8"/>
    <w:rsid w:val="00F84D9D"/>
    <w:rsid w:val="00F86595"/>
    <w:rsid w:val="00F87585"/>
    <w:rsid w:val="00F909E6"/>
    <w:rsid w:val="00F92F25"/>
    <w:rsid w:val="00F92F93"/>
    <w:rsid w:val="00F93B6B"/>
    <w:rsid w:val="00F94EA9"/>
    <w:rsid w:val="00F95820"/>
    <w:rsid w:val="00F95A37"/>
    <w:rsid w:val="00F9647A"/>
    <w:rsid w:val="00F975F9"/>
    <w:rsid w:val="00FA2390"/>
    <w:rsid w:val="00FA4D0E"/>
    <w:rsid w:val="00FA56BE"/>
    <w:rsid w:val="00FB402F"/>
    <w:rsid w:val="00FB5413"/>
    <w:rsid w:val="00FB7651"/>
    <w:rsid w:val="00FC0B73"/>
    <w:rsid w:val="00FC0EA9"/>
    <w:rsid w:val="00FC1E61"/>
    <w:rsid w:val="00FC3902"/>
    <w:rsid w:val="00FC4C15"/>
    <w:rsid w:val="00FC4D76"/>
    <w:rsid w:val="00FC6457"/>
    <w:rsid w:val="00FC64DC"/>
    <w:rsid w:val="00FC7709"/>
    <w:rsid w:val="00FC7CBE"/>
    <w:rsid w:val="00FC7E13"/>
    <w:rsid w:val="00FC7F96"/>
    <w:rsid w:val="00FD03AD"/>
    <w:rsid w:val="00FD12F4"/>
    <w:rsid w:val="00FD4B85"/>
    <w:rsid w:val="00FD5151"/>
    <w:rsid w:val="00FD5B87"/>
    <w:rsid w:val="00FD7010"/>
    <w:rsid w:val="00FD72C8"/>
    <w:rsid w:val="00FD7378"/>
    <w:rsid w:val="00FD739E"/>
    <w:rsid w:val="00FE1939"/>
    <w:rsid w:val="00FE19EA"/>
    <w:rsid w:val="00FE1BC0"/>
    <w:rsid w:val="00FE2EE8"/>
    <w:rsid w:val="00FE43E4"/>
    <w:rsid w:val="00FE475D"/>
    <w:rsid w:val="00FE77BC"/>
    <w:rsid w:val="00FF1870"/>
    <w:rsid w:val="00FF19FC"/>
    <w:rsid w:val="00FF4237"/>
    <w:rsid w:val="00FF4449"/>
    <w:rsid w:val="00FF571B"/>
    <w:rsid w:val="00FF61B8"/>
    <w:rsid w:val="00FF6C78"/>
    <w:rsid w:val="033C3E29"/>
    <w:rsid w:val="0C283C37"/>
    <w:rsid w:val="1F3F2EA2"/>
    <w:rsid w:val="2B0B5A58"/>
    <w:rsid w:val="34CA685D"/>
    <w:rsid w:val="4AC41449"/>
    <w:rsid w:val="4B7C1D26"/>
    <w:rsid w:val="4BD1641D"/>
    <w:rsid w:val="4D4D2079"/>
    <w:rsid w:val="4E2B394A"/>
    <w:rsid w:val="4F635526"/>
    <w:rsid w:val="528A11BC"/>
    <w:rsid w:val="62517040"/>
    <w:rsid w:val="6BA024B6"/>
    <w:rsid w:val="6CF208B0"/>
    <w:rsid w:val="6E191C43"/>
    <w:rsid w:val="70C3248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semiHidden="0"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2"/>
    <w:qFormat/>
    <w:uiPriority w:val="9"/>
    <w:pPr>
      <w:keepNext/>
      <w:keepLines/>
      <w:spacing w:before="340" w:after="330" w:line="578" w:lineRule="auto"/>
      <w:outlineLvl w:val="0"/>
    </w:pPr>
    <w:rPr>
      <w:b/>
      <w:bCs/>
      <w:kern w:val="44"/>
      <w:sz w:val="44"/>
      <w:szCs w:val="44"/>
    </w:rPr>
  </w:style>
  <w:style w:type="character" w:default="1" w:styleId="20">
    <w:name w:val="Default Paragraph Font"/>
    <w:semiHidden/>
    <w:unhideWhenUsed/>
    <w:qFormat/>
    <w:uiPriority w:val="1"/>
  </w:style>
  <w:style w:type="table" w:default="1" w:styleId="24">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subject"/>
    <w:basedOn w:val="4"/>
    <w:next w:val="4"/>
    <w:link w:val="36"/>
    <w:semiHidden/>
    <w:unhideWhenUsed/>
    <w:uiPriority w:val="99"/>
    <w:rPr>
      <w:b/>
      <w:bCs/>
    </w:rPr>
  </w:style>
  <w:style w:type="paragraph" w:styleId="4">
    <w:name w:val="annotation text"/>
    <w:basedOn w:val="1"/>
    <w:link w:val="35"/>
    <w:unhideWhenUsed/>
    <w:uiPriority w:val="99"/>
    <w:pPr>
      <w:jc w:val="left"/>
    </w:pPr>
  </w:style>
  <w:style w:type="paragraph" w:styleId="5">
    <w:name w:val="toc 7"/>
    <w:basedOn w:val="1"/>
    <w:next w:val="1"/>
    <w:unhideWhenUsed/>
    <w:uiPriority w:val="39"/>
    <w:pPr>
      <w:ind w:left="1260"/>
      <w:jc w:val="left"/>
    </w:pPr>
    <w:rPr>
      <w:rFonts w:cstheme="minorHAnsi"/>
      <w:sz w:val="20"/>
      <w:szCs w:val="20"/>
    </w:rPr>
  </w:style>
  <w:style w:type="paragraph" w:styleId="6">
    <w:name w:val="Document Map"/>
    <w:basedOn w:val="1"/>
    <w:link w:val="37"/>
    <w:semiHidden/>
    <w:unhideWhenUsed/>
    <w:uiPriority w:val="99"/>
    <w:rPr>
      <w:rFonts w:ascii="宋体" w:eastAsia="宋体"/>
      <w:sz w:val="18"/>
      <w:szCs w:val="18"/>
    </w:rPr>
  </w:style>
  <w:style w:type="paragraph" w:styleId="7">
    <w:name w:val="toc 5"/>
    <w:basedOn w:val="1"/>
    <w:next w:val="1"/>
    <w:unhideWhenUsed/>
    <w:uiPriority w:val="39"/>
    <w:pPr>
      <w:ind w:left="840"/>
      <w:jc w:val="left"/>
    </w:pPr>
    <w:rPr>
      <w:rFonts w:cstheme="minorHAnsi"/>
      <w:sz w:val="20"/>
      <w:szCs w:val="20"/>
    </w:rPr>
  </w:style>
  <w:style w:type="paragraph" w:styleId="8">
    <w:name w:val="toc 3"/>
    <w:basedOn w:val="1"/>
    <w:next w:val="1"/>
    <w:unhideWhenUsed/>
    <w:uiPriority w:val="39"/>
    <w:pPr>
      <w:ind w:left="420"/>
      <w:jc w:val="left"/>
    </w:pPr>
    <w:rPr>
      <w:rFonts w:cstheme="minorHAnsi"/>
      <w:sz w:val="20"/>
      <w:szCs w:val="20"/>
    </w:rPr>
  </w:style>
  <w:style w:type="paragraph" w:styleId="9">
    <w:name w:val="toc 8"/>
    <w:basedOn w:val="1"/>
    <w:next w:val="1"/>
    <w:unhideWhenUsed/>
    <w:uiPriority w:val="39"/>
    <w:pPr>
      <w:ind w:left="1470"/>
      <w:jc w:val="left"/>
    </w:pPr>
    <w:rPr>
      <w:rFonts w:cstheme="minorHAnsi"/>
      <w:sz w:val="20"/>
      <w:szCs w:val="20"/>
    </w:rPr>
  </w:style>
  <w:style w:type="paragraph" w:styleId="10">
    <w:name w:val="Date"/>
    <w:basedOn w:val="1"/>
    <w:next w:val="1"/>
    <w:link w:val="38"/>
    <w:semiHidden/>
    <w:unhideWhenUsed/>
    <w:uiPriority w:val="99"/>
    <w:pPr>
      <w:ind w:left="100" w:leftChars="2500"/>
    </w:pPr>
  </w:style>
  <w:style w:type="paragraph" w:styleId="11">
    <w:name w:val="Balloon Text"/>
    <w:basedOn w:val="1"/>
    <w:link w:val="34"/>
    <w:semiHidden/>
    <w:unhideWhenUsed/>
    <w:uiPriority w:val="99"/>
    <w:rPr>
      <w:sz w:val="18"/>
      <w:szCs w:val="18"/>
    </w:rPr>
  </w:style>
  <w:style w:type="paragraph" w:styleId="12">
    <w:name w:val="footer"/>
    <w:basedOn w:val="1"/>
    <w:link w:val="30"/>
    <w:unhideWhenUsed/>
    <w:uiPriority w:val="99"/>
    <w:pPr>
      <w:tabs>
        <w:tab w:val="center" w:pos="4153"/>
        <w:tab w:val="right" w:pos="8306"/>
      </w:tabs>
      <w:snapToGrid w:val="0"/>
      <w:jc w:val="left"/>
    </w:pPr>
    <w:rPr>
      <w:sz w:val="18"/>
      <w:szCs w:val="18"/>
    </w:rPr>
  </w:style>
  <w:style w:type="paragraph" w:styleId="13">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uiPriority w:val="39"/>
    <w:pPr>
      <w:spacing w:before="120"/>
      <w:jc w:val="left"/>
    </w:pPr>
    <w:rPr>
      <w:rFonts w:eastAsia="PMingLiU" w:cstheme="minorHAnsi"/>
      <w:b/>
      <w:bCs/>
      <w:iCs/>
      <w:sz w:val="24"/>
      <w:szCs w:val="24"/>
    </w:rPr>
  </w:style>
  <w:style w:type="paragraph" w:styleId="15">
    <w:name w:val="toc 4"/>
    <w:basedOn w:val="1"/>
    <w:next w:val="1"/>
    <w:unhideWhenUsed/>
    <w:uiPriority w:val="39"/>
    <w:pPr>
      <w:ind w:left="630"/>
      <w:jc w:val="left"/>
    </w:pPr>
    <w:rPr>
      <w:rFonts w:cstheme="minorHAnsi"/>
      <w:sz w:val="20"/>
      <w:szCs w:val="20"/>
    </w:rPr>
  </w:style>
  <w:style w:type="paragraph" w:styleId="16">
    <w:name w:val="toc 6"/>
    <w:basedOn w:val="1"/>
    <w:next w:val="1"/>
    <w:unhideWhenUsed/>
    <w:uiPriority w:val="39"/>
    <w:pPr>
      <w:ind w:left="1050"/>
      <w:jc w:val="left"/>
    </w:pPr>
    <w:rPr>
      <w:rFonts w:cstheme="minorHAnsi"/>
      <w:sz w:val="20"/>
      <w:szCs w:val="20"/>
    </w:rPr>
  </w:style>
  <w:style w:type="paragraph" w:styleId="17">
    <w:name w:val="toc 2"/>
    <w:basedOn w:val="1"/>
    <w:next w:val="1"/>
    <w:unhideWhenUsed/>
    <w:uiPriority w:val="39"/>
    <w:pPr>
      <w:spacing w:before="120"/>
      <w:ind w:left="210"/>
      <w:jc w:val="left"/>
    </w:pPr>
    <w:rPr>
      <w:rFonts w:cstheme="minorHAnsi"/>
      <w:b/>
      <w:bCs/>
      <w:sz w:val="22"/>
    </w:rPr>
  </w:style>
  <w:style w:type="paragraph" w:styleId="18">
    <w:name w:val="toc 9"/>
    <w:basedOn w:val="1"/>
    <w:next w:val="1"/>
    <w:unhideWhenUsed/>
    <w:uiPriority w:val="39"/>
    <w:pPr>
      <w:ind w:left="1680"/>
      <w:jc w:val="left"/>
    </w:pPr>
    <w:rPr>
      <w:rFonts w:cstheme="minorHAnsi"/>
      <w:sz w:val="20"/>
      <w:szCs w:val="20"/>
    </w:rPr>
  </w:style>
  <w:style w:type="paragraph" w:styleId="19">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21">
    <w:name w:val="FollowedHyperlink"/>
    <w:basedOn w:val="20"/>
    <w:semiHidden/>
    <w:unhideWhenUsed/>
    <w:qFormat/>
    <w:uiPriority w:val="99"/>
    <w:rPr>
      <w:color w:val="954F72" w:themeColor="followedHyperlink"/>
      <w:u w:val="single"/>
      <w14:textFill>
        <w14:solidFill>
          <w14:schemeClr w14:val="folHlink"/>
        </w14:solidFill>
      </w14:textFill>
    </w:rPr>
  </w:style>
  <w:style w:type="character" w:styleId="22">
    <w:name w:val="Hyperlink"/>
    <w:basedOn w:val="20"/>
    <w:unhideWhenUsed/>
    <w:qFormat/>
    <w:uiPriority w:val="99"/>
    <w:rPr>
      <w:color w:val="0563C1" w:themeColor="hyperlink"/>
      <w:u w:val="single"/>
      <w14:textFill>
        <w14:solidFill>
          <w14:schemeClr w14:val="hlink"/>
        </w14:solidFill>
      </w14:textFill>
    </w:rPr>
  </w:style>
  <w:style w:type="character" w:styleId="23">
    <w:name w:val="annotation reference"/>
    <w:basedOn w:val="20"/>
    <w:semiHidden/>
    <w:unhideWhenUsed/>
    <w:uiPriority w:val="99"/>
    <w:rPr>
      <w:sz w:val="21"/>
      <w:szCs w:val="21"/>
    </w:rPr>
  </w:style>
  <w:style w:type="table" w:styleId="25">
    <w:name w:val="Table Grid"/>
    <w:basedOn w:val="24"/>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6">
    <w:name w:val="Default"/>
    <w:qFormat/>
    <w:uiPriority w:val="0"/>
    <w:pPr>
      <w:widowControl w:val="0"/>
      <w:autoSpaceDE w:val="0"/>
      <w:autoSpaceDN w:val="0"/>
      <w:adjustRightInd w:val="0"/>
    </w:pPr>
    <w:rPr>
      <w:rFonts w:ascii="方正兰亭细黑" w:eastAsia="方正兰亭细黑" w:cs="方正兰亭细黑" w:hAnsiTheme="minorHAnsi"/>
      <w:color w:val="000000"/>
      <w:kern w:val="0"/>
      <w:sz w:val="24"/>
      <w:szCs w:val="24"/>
      <w:lang w:val="en-US" w:eastAsia="zh-CN" w:bidi="ar-SA"/>
    </w:rPr>
  </w:style>
  <w:style w:type="character" w:customStyle="1" w:styleId="27">
    <w:name w:val="A4"/>
    <w:qFormat/>
    <w:uiPriority w:val="99"/>
    <w:rPr>
      <w:rFonts w:cs="方正兰亭细黑"/>
      <w:color w:val="000000"/>
      <w:sz w:val="16"/>
      <w:szCs w:val="16"/>
    </w:rPr>
  </w:style>
  <w:style w:type="paragraph" w:styleId="28">
    <w:name w:val="List Paragraph"/>
    <w:basedOn w:val="1"/>
    <w:qFormat/>
    <w:uiPriority w:val="34"/>
    <w:pPr>
      <w:ind w:firstLine="420" w:firstLineChars="200"/>
    </w:pPr>
    <w:rPr>
      <w:rFonts w:ascii="Calibri" w:hAnsi="Calibri" w:eastAsia="宋体" w:cs="Times New Roman"/>
    </w:rPr>
  </w:style>
  <w:style w:type="character" w:customStyle="1" w:styleId="29">
    <w:name w:val="页眉 字符"/>
    <w:basedOn w:val="20"/>
    <w:link w:val="13"/>
    <w:uiPriority w:val="99"/>
    <w:rPr>
      <w:sz w:val="18"/>
      <w:szCs w:val="18"/>
    </w:rPr>
  </w:style>
  <w:style w:type="character" w:customStyle="1" w:styleId="30">
    <w:name w:val="页脚 字符"/>
    <w:basedOn w:val="20"/>
    <w:link w:val="12"/>
    <w:uiPriority w:val="99"/>
    <w:rPr>
      <w:sz w:val="18"/>
      <w:szCs w:val="18"/>
    </w:rPr>
  </w:style>
  <w:style w:type="paragraph" w:customStyle="1" w:styleId="31">
    <w:name w:val="Pa1"/>
    <w:basedOn w:val="26"/>
    <w:next w:val="26"/>
    <w:uiPriority w:val="99"/>
    <w:pPr>
      <w:spacing w:line="241" w:lineRule="atLeast"/>
    </w:pPr>
    <w:rPr>
      <w:rFonts w:ascii="......." w:hAnsi="Calibri" w:eastAsia="......." w:cs="Times New Roman"/>
      <w:color w:val="auto"/>
    </w:rPr>
  </w:style>
  <w:style w:type="character" w:customStyle="1" w:styleId="32">
    <w:name w:val="标题 1 字符"/>
    <w:basedOn w:val="20"/>
    <w:link w:val="2"/>
    <w:uiPriority w:val="9"/>
    <w:rPr>
      <w:b/>
      <w:bCs/>
      <w:kern w:val="44"/>
      <w:sz w:val="44"/>
      <w:szCs w:val="44"/>
    </w:rPr>
  </w:style>
  <w:style w:type="paragraph" w:customStyle="1" w:styleId="33">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34">
    <w:name w:val="批注框文本 字符"/>
    <w:basedOn w:val="20"/>
    <w:link w:val="11"/>
    <w:semiHidden/>
    <w:uiPriority w:val="99"/>
    <w:rPr>
      <w:sz w:val="18"/>
      <w:szCs w:val="18"/>
    </w:rPr>
  </w:style>
  <w:style w:type="character" w:customStyle="1" w:styleId="35">
    <w:name w:val="批注文字 字符"/>
    <w:basedOn w:val="20"/>
    <w:link w:val="4"/>
    <w:uiPriority w:val="99"/>
  </w:style>
  <w:style w:type="character" w:customStyle="1" w:styleId="36">
    <w:name w:val="批注主题 字符"/>
    <w:basedOn w:val="35"/>
    <w:link w:val="3"/>
    <w:semiHidden/>
    <w:uiPriority w:val="99"/>
    <w:rPr>
      <w:b/>
      <w:bCs/>
    </w:rPr>
  </w:style>
  <w:style w:type="character" w:customStyle="1" w:styleId="37">
    <w:name w:val="文档结构图 字符"/>
    <w:basedOn w:val="20"/>
    <w:link w:val="6"/>
    <w:semiHidden/>
    <w:uiPriority w:val="99"/>
    <w:rPr>
      <w:rFonts w:ascii="宋体" w:eastAsia="宋体"/>
      <w:sz w:val="18"/>
      <w:szCs w:val="18"/>
    </w:rPr>
  </w:style>
  <w:style w:type="character" w:customStyle="1" w:styleId="38">
    <w:name w:val="日期 字符"/>
    <w:basedOn w:val="20"/>
    <w:link w:val="10"/>
    <w:semiHidden/>
    <w:uiPriority w:val="99"/>
  </w:style>
  <w:style w:type="paragraph" w:customStyle="1" w:styleId="39">
    <w:name w:val="Revision"/>
    <w:hidden/>
    <w:semiHidden/>
    <w:uiPriority w:val="99"/>
    <w:rPr>
      <w:rFonts w:asciiTheme="minorHAnsi" w:hAnsiTheme="minorHAnsi" w:eastAsiaTheme="minorEastAsia" w:cstheme="minorBidi"/>
      <w:kern w:val="2"/>
      <w:sz w:val="21"/>
      <w:szCs w:val="22"/>
      <w:lang w:val="en-US" w:eastAsia="zh-CN" w:bidi="ar-SA"/>
    </w:rPr>
  </w:style>
  <w:style w:type="character" w:customStyle="1" w:styleId="40">
    <w:name w:val="Unresolved Mention"/>
    <w:basedOn w:val="20"/>
    <w:semiHidden/>
    <w:unhideWhenUsed/>
    <w:uiPriority w:val="99"/>
    <w:rPr>
      <w:color w:val="808080"/>
      <w:shd w:val="clear" w:color="auto" w:fill="E6E6E6"/>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67"/>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BC1D5F-2B27-4F22-B700-27E1F223E1C1}">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88</Pages>
  <Words>9573</Words>
  <Characters>54569</Characters>
  <Lines>454</Lines>
  <Paragraphs>128</Paragraphs>
  <TotalTime>0</TotalTime>
  <ScaleCrop>false</ScaleCrop>
  <LinksUpToDate>false</LinksUpToDate>
  <CharactersWithSpaces>64014</CharactersWithSpaces>
  <Application>WPS Office_10.1.0.7223_F1E327BC-269C-435d-A152-05C5408002CA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2015-01-30T03:41:00Z</dcterms:created>
  <dc:creator>taq</dc:creator>
  <cp:lastModifiedBy>cpt</cp:lastModifiedBy>
  <cp:lastPrinted>2018-01-16T10:00:00Z</cp:lastPrinted>
  <dcterms:modified xsi:type="dcterms:W3CDTF">2018-05-04T11:18:55Z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