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eastAsia="黑体" w:cs="仿宋_GB2312"/>
          <w:sz w:val="32"/>
          <w:szCs w:val="32"/>
        </w:rPr>
      </w:pPr>
      <w:r>
        <w:rPr>
          <w:rFonts w:hint="eastAsia" w:ascii="黑体" w:eastAsia="黑体" w:cs="仿宋_GB2312"/>
          <w:sz w:val="32"/>
          <w:szCs w:val="32"/>
        </w:rPr>
        <w:t>附件</w:t>
      </w:r>
    </w:p>
    <w:p>
      <w:pPr>
        <w:widowControl/>
        <w:jc w:val="left"/>
        <w:rPr>
          <w:rFonts w:ascii="仿宋_GB2312" w:eastAsia="仿宋_GB2312" w:cs="仿宋_GB2312"/>
          <w:sz w:val="32"/>
          <w:szCs w:val="32"/>
        </w:rPr>
      </w:pPr>
    </w:p>
    <w:tbl>
      <w:tblPr>
        <w:tblpPr w:leftFromText="180" w:rightFromText="180" w:vertAnchor="text" w:horzAnchor="page" w:tblpXSpec="center" w:tblpY="91"/>
        <w:tblOverlap w:val="never"/>
        <w:tblW w:w="97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8"/>
        <w:gridCol w:w="709"/>
        <w:gridCol w:w="992"/>
        <w:gridCol w:w="871"/>
        <w:gridCol w:w="1396"/>
        <w:gridCol w:w="1135"/>
        <w:gridCol w:w="1134"/>
        <w:gridCol w:w="1585"/>
        <w:gridCol w:w="1392"/>
      </w:tblGrid>
      <w:tr>
        <w:trPr>
          <w:trHeight w:val="418" w:hRule="atLeast"/>
          <w:jc w:val="center"/>
        </w:trPr>
        <w:tc>
          <w:tcPr>
            <w:tcW w:w="9782" w:type="dxa"/>
            <w:gridSpan w:val="9"/>
            <w:vAlign w:val="center"/>
          </w:tcPr>
          <w:p>
            <w:pPr>
              <w:overflowPunct w:val="0"/>
              <w:spacing w:line="57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各市（州）土坯房改造统计表</w:t>
            </w:r>
            <w:bookmarkStart w:id="0" w:name="_GoBack"/>
            <w:bookmarkEnd w:id="0"/>
          </w:p>
          <w:p>
            <w:pPr>
              <w:wordWrap w:val="0"/>
              <w:overflowPunct w:val="0"/>
              <w:spacing w:line="570" w:lineRule="exact"/>
              <w:jc w:val="right"/>
              <w:rPr>
                <w:rFonts w:ascii="Times New Roman" w:hAnsi="Times New Roman" w:eastAsia="黑体"/>
                <w:sz w:val="44"/>
                <w:szCs w:val="44"/>
              </w:rPr>
            </w:pPr>
            <w:r>
              <w:rPr>
                <w:rFonts w:hint="eastAsia" w:ascii="黑体" w:eastAsia="黑体"/>
                <w:b/>
                <w:bCs/>
                <w:kern w:val="0"/>
                <w:sz w:val="18"/>
                <w:szCs w:val="18"/>
              </w:rPr>
              <w:t xml:space="preserve">          </w:t>
            </w:r>
            <w:r>
              <w:rPr>
                <w:rFonts w:hint="eastAsia" w:ascii="仿宋_GB2312" w:hAnsi="仿宋_GB2312" w:eastAsia="仿宋_GB2312" w:cs="仿宋_GB2312"/>
                <w:b/>
                <w:bCs/>
                <w:kern w:val="0"/>
                <w:sz w:val="18"/>
                <w:szCs w:val="18"/>
              </w:rPr>
              <w:t xml:space="preserve">单位：户  </w:t>
            </w:r>
            <w:r>
              <w:rPr>
                <w:rFonts w:hint="eastAsia" w:ascii="黑体" w:eastAsia="黑体"/>
                <w:b/>
                <w:bCs/>
                <w:kern w:val="0"/>
                <w:sz w:val="18"/>
                <w:szCs w:val="18"/>
              </w:rPr>
              <w:t xml:space="preserve">  </w:t>
            </w:r>
          </w:p>
        </w:tc>
      </w:tr>
      <w:tr>
        <w:trPr>
          <w:trHeight w:val="429"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黑体" w:eastAsia="黑体"/>
                <w:b/>
                <w:bCs/>
                <w:sz w:val="18"/>
                <w:szCs w:val="18"/>
              </w:rPr>
            </w:pPr>
            <w:r>
              <w:rPr>
                <w:rFonts w:hint="eastAsia" w:ascii="黑体" w:eastAsia="黑体"/>
                <w:b/>
                <w:bCs/>
                <w:kern w:val="0"/>
                <w:sz w:val="18"/>
                <w:szCs w:val="18"/>
              </w:rPr>
              <w:t>序号</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黑体" w:eastAsia="黑体"/>
                <w:b/>
                <w:bCs/>
                <w:sz w:val="18"/>
                <w:szCs w:val="18"/>
              </w:rPr>
            </w:pPr>
            <w:r>
              <w:rPr>
                <w:rFonts w:hint="eastAsia" w:ascii="黑体" w:eastAsia="黑体"/>
                <w:b/>
                <w:bCs/>
                <w:kern w:val="0"/>
                <w:sz w:val="18"/>
                <w:szCs w:val="18"/>
              </w:rPr>
              <w:t>市(州)</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黑体" w:eastAsia="黑体"/>
                <w:b/>
                <w:bCs/>
                <w:sz w:val="18"/>
                <w:szCs w:val="18"/>
              </w:rPr>
            </w:pPr>
            <w:r>
              <w:rPr>
                <w:rFonts w:hint="eastAsia" w:ascii="黑体" w:eastAsia="黑体"/>
                <w:b/>
                <w:bCs/>
                <w:kern w:val="0"/>
                <w:sz w:val="18"/>
                <w:szCs w:val="18"/>
              </w:rPr>
              <w:t>合计</w:t>
            </w:r>
          </w:p>
        </w:tc>
        <w:tc>
          <w:tcPr>
            <w:tcW w:w="3402" w:type="dxa"/>
            <w:gridSpan w:val="3"/>
            <w:tcBorders>
              <w:top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唯一住房、且常年有人居住土坯房户数</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已在农村建新房但未拆旧房，形成的一户多宅土坯房户数</w:t>
            </w:r>
          </w:p>
        </w:tc>
        <w:tc>
          <w:tcPr>
            <w:tcW w:w="1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长期无人居住形成的废弃闲置土坯房以及正在拆除或按计划将要拆除的土坯房户数</w:t>
            </w:r>
          </w:p>
        </w:tc>
        <w:tc>
          <w:tcPr>
            <w:tcW w:w="13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户主在城镇或外地定居、但仍在原宅基地上保留的土坯房户数</w:t>
            </w:r>
          </w:p>
        </w:tc>
      </w:tr>
      <w:tr>
        <w:trPr>
          <w:trHeight w:val="91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黑体" w:eastAsia="黑体"/>
                <w:b/>
                <w:bCs/>
                <w:sz w:val="18"/>
                <w:szCs w:val="18"/>
              </w:rPr>
            </w:pPr>
            <w:r>
              <w:rPr>
                <w:rFonts w:hint="eastAsia" w:ascii="黑体" w:eastAsia="黑体"/>
                <w:b/>
                <w:bCs/>
                <w:kern w:val="0"/>
                <w:sz w:val="18"/>
                <w:szCs w:val="18"/>
              </w:rPr>
              <w:t>小计</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已经纳入现行中央和省农房建设补助政策户数</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eastAsia="黑体"/>
                <w:b/>
                <w:bCs/>
                <w:sz w:val="18"/>
                <w:szCs w:val="18"/>
              </w:rPr>
            </w:pPr>
            <w:r>
              <w:rPr>
                <w:rFonts w:hint="eastAsia" w:ascii="黑体" w:eastAsia="黑体"/>
                <w:b/>
                <w:bCs/>
                <w:kern w:val="0"/>
                <w:sz w:val="18"/>
                <w:szCs w:val="18"/>
              </w:rPr>
              <w:t>没有纳入现行农房建设补助政策户数</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tc>
        <w:tc>
          <w:tcPr>
            <w:tcW w:w="1585" w:type="dxa"/>
            <w:vMerge w:val="continue"/>
            <w:tcBorders>
              <w:top w:val="single" w:color="000000" w:sz="4" w:space="0"/>
              <w:left w:val="single" w:color="000000" w:sz="4" w:space="0"/>
              <w:bottom w:val="single" w:color="000000" w:sz="4" w:space="0"/>
              <w:right w:val="single" w:color="000000" w:sz="4" w:space="0"/>
            </w:tcBorders>
            <w:vAlign w:val="center"/>
          </w:tcP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2696325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1542448</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685633</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856815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402656</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443790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bCs/>
                <w:sz w:val="18"/>
                <w:szCs w:val="18"/>
              </w:rPr>
            </w:pPr>
            <w:r>
              <w:rPr>
                <w:rFonts w:ascii="Times New Roman" w:hAnsi="Times New Roman" w:eastAsia="仿宋" w:cs="Times New Roman"/>
                <w:bCs/>
                <w:kern w:val="0"/>
                <w:sz w:val="18"/>
                <w:szCs w:val="18"/>
              </w:rPr>
              <w:t>307431</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成都</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80484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52686</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25715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26971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7638</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13939</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6221</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自贡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64973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37298</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14968</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22330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5763</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13399</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8513</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攀枝花</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45423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43695</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5595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38100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1040</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234</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454</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泸州</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128215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74202</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37195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37007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14624</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21268</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18121</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德阳</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123670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75691</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20857</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54834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23992</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17661</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6326</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绵阳</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199300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100072</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37899</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62173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43404</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31680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24144</w:t>
            </w:r>
          </w:p>
        </w:tc>
      </w:tr>
      <w:tr>
        <w:trPr>
          <w:trHeight w:val="277"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广元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196349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128624</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49511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79113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32410</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16110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19205</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遂宁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85053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72223</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21211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51012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2403</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8330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2097</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内江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128328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74835</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42332</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32503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17205</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25387</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10901</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乐山</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14965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9069</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4383</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4686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887</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2828</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2181</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南充</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329577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170513</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104469</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66044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40205</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70180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48679</w:t>
            </w:r>
          </w:p>
        </w:tc>
      </w:tr>
      <w:tr>
        <w:trPr>
          <w:trHeight w:val="277"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宜宾</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95870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61726</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28685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33041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11689</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14181</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8274</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广安</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67007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33495</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13798</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19697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12533</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12826</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8153</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达州</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164775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94163</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31995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62168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14635</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15367</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40610</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15</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巴中</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271584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174681</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98172</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76509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20426</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35347</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41130</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雅安</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20937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16819</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1856</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14963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2648</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891</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579</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眉山</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42006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28943</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17327</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11616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3721</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5357</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3985</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资阳</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45481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26210</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8126</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18084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6778</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8956</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3537</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19</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阿坝</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2384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808</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638</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1539</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29</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8</w:t>
            </w:r>
          </w:p>
        </w:tc>
      </w:tr>
      <w:tr>
        <w:trPr>
          <w:trHeight w:val="27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甘孜</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17153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9821</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9146</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675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3233</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2836</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1263</w:t>
            </w:r>
          </w:p>
        </w:tc>
      </w:tr>
      <w:tr>
        <w:trPr>
          <w:trHeight w:val="268"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凉山</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572791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256874</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111755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145119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135883</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126984</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 w:cs="Times New Roman"/>
                <w:sz w:val="18"/>
                <w:szCs w:val="18"/>
              </w:rPr>
            </w:pPr>
            <w:r>
              <w:rPr>
                <w:rFonts w:ascii="Times New Roman" w:hAnsi="Times New Roman" w:eastAsia="仿宋" w:cs="Times New Roman"/>
                <w:kern w:val="0"/>
                <w:sz w:val="18"/>
                <w:szCs w:val="18"/>
              </w:rPr>
              <w:t>53050</w:t>
            </w:r>
          </w:p>
        </w:tc>
      </w:tr>
    </w:tbl>
    <w:p>
      <w:pPr>
        <w:widowControl/>
        <w:shd w:val="clear" w:color="auto" w:fill="FFFFFF"/>
        <w:spacing w:line="600" w:lineRule="exact"/>
        <w:ind w:firstLine="640" w:firstLineChars="200"/>
        <w:jc w:val="left"/>
        <w:rPr>
          <w:rFonts w:ascii="仿宋" w:eastAsia="仿宋"/>
          <w:bCs/>
          <w:sz w:val="32"/>
          <w:szCs w:val="32"/>
        </w:rPr>
      </w:pPr>
    </w:p>
    <w:p>
      <w:pPr>
        <w:rPr>
          <w:rFonts w:ascii="黑体" w:eastAsia="黑体" w:cs="仿宋_GB2312"/>
          <w:sz w:val="32"/>
          <w:szCs w:val="32"/>
        </w:rPr>
      </w:pPr>
    </w:p>
    <w:p/>
    <w:sectPr>
      <w:footerReference r:id="rId4" w:type="default"/>
      <w:pgSz w:w="11906" w:h="16838"/>
      <w:pgMar w:top="1440" w:right="1800" w:bottom="1440" w:left="1800" w:header="851" w:footer="1247" w:gutter="0"/>
      <w:paperSrc w:first="0" w:other="0"/>
      <w:pgNumType w:fmt="decimal" w:start="1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大宋简">
    <w:altName w:val="宋体"/>
    <w:panose1 w:val="00000000000000000000"/>
    <w:charset w:val="86"/>
    <w:family w:val="auto"/>
    <w:pitch w:val="default"/>
    <w:sig w:usb0="00000000" w:usb1="080E0800" w:usb2="00000002"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Calibri" w:hAnsi="Calibri" w:eastAsia="宋体" w:cs="Arial"/>
        <w:kern w:val="2"/>
        <w:sz w:val="18"/>
        <w:szCs w:val="18"/>
        <w:lang w:val="en-US" w:eastAsia="zh-CN" w:bidi="ar-SA"/>
      </w:rPr>
      <w:pict>
        <v:shape id="文本框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11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uiPriority w:val="1"/>
  </w:style>
  <w:style w:type="paragraph" w:styleId="2">
    <w:name w:val="Date"/>
    <w:basedOn w:val="1"/>
    <w:next w:val="1"/>
    <w:link w:val="10"/>
    <w:semiHidden/>
    <w:unhideWhenUsed/>
    <w:uiPriority w:val="99"/>
    <w:pPr>
      <w:ind w:left="100" w:leftChars="2500"/>
    </w:pPr>
  </w:style>
  <w:style w:type="paragraph" w:styleId="3">
    <w:name w:val="Balloon Text"/>
    <w:basedOn w:val="1"/>
    <w:link w:val="7"/>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Char"/>
    <w:basedOn w:val="6"/>
    <w:link w:val="3"/>
    <w:uiPriority w:val="99"/>
    <w:rPr>
      <w:rFonts w:ascii="Calibri" w:hAnsi="Calibri" w:eastAsia="宋体" w:cs="Arial"/>
      <w:sz w:val="18"/>
      <w:szCs w:val="18"/>
    </w:rPr>
  </w:style>
  <w:style w:type="character" w:customStyle="1" w:styleId="8">
    <w:name w:val="页眉 Char Char"/>
    <w:basedOn w:val="6"/>
    <w:link w:val="5"/>
    <w:uiPriority w:val="99"/>
    <w:rPr>
      <w:rFonts w:ascii="Calibri" w:hAnsi="Calibri" w:eastAsia="宋体" w:cs="Arial"/>
      <w:sz w:val="18"/>
      <w:szCs w:val="18"/>
    </w:rPr>
  </w:style>
  <w:style w:type="character" w:customStyle="1" w:styleId="9">
    <w:name w:val="页脚 Char Char"/>
    <w:basedOn w:val="6"/>
    <w:link w:val="4"/>
    <w:uiPriority w:val="99"/>
    <w:rPr>
      <w:rFonts w:ascii="Calibri" w:hAnsi="Calibri" w:eastAsia="宋体" w:cs="Arial"/>
      <w:sz w:val="18"/>
      <w:szCs w:val="18"/>
    </w:rPr>
  </w:style>
  <w:style w:type="character" w:customStyle="1" w:styleId="10">
    <w:name w:val="日期 Char Char"/>
    <w:basedOn w:val="6"/>
    <w:link w:val="2"/>
    <w:uiPriority w:val="99"/>
    <w:rPr>
      <w:rFonts w:ascii="Calibri" w:hAnsi="Calibri" w:eastAsia="宋体" w:cs="Arial"/>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924</Words>
  <Characters>5270</Characters>
  <Lines>43</Lines>
  <Paragraphs>12</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2017-11-07T07:16:00Z</dcterms:created>
  <dc:creator>NTKO</dc:creator>
  <cp:lastModifiedBy>Administrator</cp:lastModifiedBy>
  <cp:lastPrinted>2017-11-07T07:20:00Z</cp:lastPrinted>
  <dcterms:modified xsi:type="dcterms:W3CDTF">2017-11-07T08:31:48Z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